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AE4FF" w14:textId="77777777" w:rsidR="00DB49D8" w:rsidRPr="00DB49D8" w:rsidRDefault="001C2B1C" w:rsidP="0069012A">
      <w:pPr>
        <w:pStyle w:val="Heading1"/>
        <w:spacing w:before="0"/>
      </w:pPr>
      <w:r w:rsidRPr="00DB49D8">
        <w:rPr>
          <w:lang w:bidi="ru-RU"/>
        </w:rPr>
        <w:t>Область применения:</w:t>
      </w:r>
    </w:p>
    <w:p w14:paraId="3D3AE500" w14:textId="77777777" w:rsidR="00DB49D8" w:rsidRPr="00DB49D8" w:rsidRDefault="001C2B1C" w:rsidP="0069012A">
      <w:pPr>
        <w:pStyle w:val="Heading2"/>
        <w:tabs>
          <w:tab w:val="clear" w:pos="2160"/>
        </w:tabs>
        <w:ind w:left="1440"/>
        <w:rPr>
          <w:rFonts w:cstheme="minorBidi"/>
          <w:szCs w:val="22"/>
        </w:rPr>
      </w:pPr>
      <w:r w:rsidRPr="00DB49D8">
        <w:rPr>
          <w:rStyle w:val="SubtleEmphasis"/>
          <w:lang w:bidi="ru-RU"/>
        </w:rPr>
        <w:t>Юридические лица, удовлетворяющие требованиям</w:t>
      </w:r>
      <w:r w:rsidRPr="00DB49D8">
        <w:rPr>
          <w:rFonts w:cstheme="minorBidi"/>
          <w:szCs w:val="22"/>
          <w:lang w:bidi="ru-RU"/>
        </w:rPr>
        <w:t>: данная политика применяется к больницам, освобожденным от уплаты налогов, которые полностью контролируются Texas Health, а также к некоторым другим аффилированным лицам согласно приложению C.</w:t>
      </w:r>
    </w:p>
    <w:p w14:paraId="3D3AE501" w14:textId="77777777" w:rsidR="005F1901" w:rsidRDefault="001C2B1C" w:rsidP="0069012A">
      <w:pPr>
        <w:pStyle w:val="Heading2"/>
        <w:tabs>
          <w:tab w:val="clear" w:pos="2160"/>
          <w:tab w:val="left" w:pos="1440"/>
        </w:tabs>
        <w:ind w:left="1530"/>
      </w:pPr>
      <w:r w:rsidRPr="00AC46A6">
        <w:rPr>
          <w:rStyle w:val="SubtleEmphasis"/>
          <w:lang w:bidi="ru-RU"/>
        </w:rPr>
        <w:t>Отделения, удовлетворяющие требованиям</w:t>
      </w:r>
      <w:r w:rsidRPr="005F1901">
        <w:rPr>
          <w:lang w:bidi="ru-RU"/>
        </w:rPr>
        <w:t>:</w:t>
      </w:r>
    </w:p>
    <w:p w14:paraId="3D3AE502" w14:textId="77777777" w:rsidR="004B089A" w:rsidRDefault="001C2B1C" w:rsidP="0069012A">
      <w:pPr>
        <w:pStyle w:val="Heading3"/>
        <w:spacing w:before="0"/>
        <w:ind w:left="2430"/>
      </w:pPr>
      <w:r w:rsidRPr="00DB49D8">
        <w:rPr>
          <w:lang w:bidi="ru-RU"/>
        </w:rPr>
        <w:t>Данная политика применяется ко всем отделениям больницы.</w:t>
      </w:r>
    </w:p>
    <w:p w14:paraId="3D3AE503" w14:textId="77777777" w:rsidR="00DB49D8" w:rsidRDefault="009517B8" w:rsidP="0069012A">
      <w:pPr>
        <w:pStyle w:val="Heading3"/>
        <w:tabs>
          <w:tab w:val="num" w:pos="2790"/>
        </w:tabs>
        <w:spacing w:before="0"/>
        <w:ind w:left="2430"/>
      </w:pPr>
      <w:r w:rsidRPr="005F1901">
        <w:rPr>
          <w:lang w:bidi="ru-RU"/>
        </w:rPr>
        <w:t>Данная политика не распространяется на счета от врачей, сторонних лабораторий или прочих поставщиков. См. приложение C.</w:t>
      </w:r>
    </w:p>
    <w:p w14:paraId="3D3AE504" w14:textId="77777777" w:rsidR="004B089A" w:rsidRDefault="001C2B1C" w:rsidP="00DB49D8">
      <w:pPr>
        <w:pStyle w:val="Heading1"/>
      </w:pPr>
      <w:r w:rsidRPr="005F1901">
        <w:rPr>
          <w:lang w:bidi="ru-RU"/>
        </w:rPr>
        <w:t>Цель:</w:t>
      </w:r>
    </w:p>
    <w:p w14:paraId="3D3AE505" w14:textId="77777777" w:rsidR="004B089A" w:rsidRDefault="00CC7CBD" w:rsidP="0069012A">
      <w:pPr>
        <w:pStyle w:val="Heading2"/>
        <w:tabs>
          <w:tab w:val="clear" w:pos="2160"/>
        </w:tabs>
        <w:ind w:left="1440"/>
      </w:pPr>
      <w:r w:rsidRPr="005F1901">
        <w:rPr>
          <w:lang w:bidi="ru-RU"/>
        </w:rPr>
        <w:t>Данная политика устанавливает рамки, в которых Texas Health определяет круг пациентов, могущих претендовать на финансовую помощь, оказывает финансовую помощь и отчитывается за предоставленную финансовую помощь. Данная политика также призвана удовлетворять требованиям, изложенным в государственных и федеральных законах, включая, в том числе: главу 311 Кодекса по вопросам охраны здоровья и безопасности штата Техас и раздел 501(r) Налогового кодекса.</w:t>
      </w:r>
    </w:p>
    <w:p w14:paraId="3D3AE506" w14:textId="77777777" w:rsidR="004B089A" w:rsidRDefault="001C2B1C" w:rsidP="00DB49D8">
      <w:pPr>
        <w:pStyle w:val="Heading1"/>
      </w:pPr>
      <w:r w:rsidRPr="005F1901">
        <w:rPr>
          <w:lang w:bidi="ru-RU"/>
        </w:rPr>
        <w:t>Политика:</w:t>
      </w:r>
    </w:p>
    <w:p w14:paraId="3D3AE507" w14:textId="77777777" w:rsidR="001C2B1C" w:rsidRPr="005F1901" w:rsidRDefault="004D7610" w:rsidP="0069012A">
      <w:pPr>
        <w:pStyle w:val="Heading2"/>
        <w:tabs>
          <w:tab w:val="clear" w:pos="2160"/>
        </w:tabs>
        <w:ind w:left="1440"/>
      </w:pPr>
      <w:r w:rsidRPr="005F1901">
        <w:rPr>
          <w:lang w:bidi="ru-RU"/>
        </w:rPr>
        <w:t xml:space="preserve">Все пациенты имеют право обращаться за финансовой помощью в любое время в период лечения или выставления счета. Пациенты имеют возможность обращаться за финансовой помощью в течение 365 дней с момента оказания услуги. Ситуация каждого пациента будет оцениваться согласно соответствующим обстоятельствам, таким как доходы, активы или другие ресурсы, имеющиеся у пациента или семьи пациента, при определении возможности оплатить остаток задолженности пациента по счету. Задержек </w:t>
      </w:r>
      <w:r w:rsidRPr="005F1901">
        <w:rPr>
          <w:lang w:bidi="ru-RU"/>
        </w:rPr>
        <w:lastRenderedPageBreak/>
        <w:t>или отказов в предоставлении неотложной медицинской помощи исходя из платежеспособности пациента не будет. Данная политика не распространяется на косметические процедуры или процедуры, не являющиеся необходимыми с медицинской точки зрения. Политика финансовой помощи Texas Health будет осуществляться согласно Руководящим принципам отбора, соответствующим федеральным и государственным законам по вопросам выделения средств, определения права на получение финансовой помощи и составления отчетности по оказанию финансовой помощи. Цель политики финансовой помощи Texas Health — принести пользу обществу посредством оказания финансовой помощи в соответствии с положениями раздела 311.043-045 Кодекса по вопросам охраны здоровья и безопасности штата Техас и раздела 501(r) Налогового кодекса.</w:t>
      </w:r>
    </w:p>
    <w:p w14:paraId="3D3AE508" w14:textId="77777777" w:rsidR="004B089A" w:rsidRDefault="000B27F6" w:rsidP="0069012A">
      <w:pPr>
        <w:pStyle w:val="Heading2"/>
        <w:tabs>
          <w:tab w:val="clear" w:pos="2160"/>
          <w:tab w:val="num" w:pos="2070"/>
        </w:tabs>
        <w:ind w:left="1440"/>
      </w:pPr>
      <w:r w:rsidRPr="005F1901">
        <w:rPr>
          <w:lang w:bidi="ru-RU"/>
        </w:rPr>
        <w:t>Процедуры, которые не считаются неотложными или необходимыми с медицинской точки зрения, включая, в том числе, косметическую хирургию, не подпадают под действие данной политики.</w:t>
      </w:r>
    </w:p>
    <w:p w14:paraId="3D3AE509" w14:textId="77777777" w:rsidR="004B089A" w:rsidRDefault="001C2B1C" w:rsidP="00DB49D8">
      <w:pPr>
        <w:pStyle w:val="Heading1"/>
      </w:pPr>
      <w:r w:rsidRPr="005F1901">
        <w:rPr>
          <w:lang w:bidi="ru-RU"/>
        </w:rPr>
        <w:t>Руководящие принципы:</w:t>
      </w:r>
    </w:p>
    <w:p w14:paraId="3D3AE50A" w14:textId="77777777" w:rsidR="00DB49D8" w:rsidRDefault="001C2B1C" w:rsidP="0069012A">
      <w:pPr>
        <w:pStyle w:val="Heading2"/>
        <w:tabs>
          <w:tab w:val="clear" w:pos="2160"/>
        </w:tabs>
        <w:ind w:left="1440"/>
      </w:pPr>
      <w:r w:rsidRPr="005F1901">
        <w:rPr>
          <w:lang w:bidi="ru-RU"/>
        </w:rPr>
        <w:t>Политика финансовой помощи Texas Health доступна лицам, отвечающим установленным требованиям и не имеющим возможности оплатить свой больничный счет. Texas Health обязуется осуществлять свою политику финансовой помощи справедливо, последовательно и объективно, уважая достоинство каждого обслуживаемого пациента. Политика финансовой помощи Texas Health будет осуществляться таким образом, чтобы выделяемая финансовая помощь максимально увеличивала выгоды, получаемые группами населения, которым Texas Health оказывает свои услуги. Ни одному пациенту не будет отказано в финансовой помощи по признаку расы, религии, национальности или на любом другом основании, запрещенном законом. Осуществляя данную политику финансовой помощи в интересах групп населения, которым Texas Health оказывает услуги, Texas Health обязуется соблюдать все применимые федеральные, государственные и местные законы, правила и нормативно-правовые акты.</w:t>
      </w:r>
    </w:p>
    <w:p w14:paraId="3D3AE50B" w14:textId="77777777" w:rsidR="004B089A" w:rsidRDefault="001C2B1C" w:rsidP="0069012A">
      <w:pPr>
        <w:pStyle w:val="Heading2"/>
        <w:tabs>
          <w:tab w:val="clear" w:pos="2160"/>
        </w:tabs>
        <w:ind w:left="1530" w:hanging="810"/>
      </w:pPr>
      <w:r w:rsidRPr="005F1901">
        <w:rPr>
          <w:lang w:bidi="ru-RU"/>
        </w:rPr>
        <w:t xml:space="preserve">Пациенты с семейным доходом, не превышающим 200 процентов установленного федерального уровня бедности, или пациенты с семейным доходом, превышающим 200 процентов установленного федерального уровня бедности, которые имеют неоплаченные медицинские счета на значительную сумму, могут претендовать на </w:t>
      </w:r>
      <w:r w:rsidRPr="005F1901">
        <w:rPr>
          <w:lang w:bidi="ru-RU"/>
        </w:rPr>
        <w:lastRenderedPageBreak/>
        <w:t>финансовую помощь, если не имеют достаточно средств для оплаты причитающейся суммы по больничному счету. С лиц, имеющих право на получение финансовой помощи, не будут взиматься суммы, превышающие те, которые, как правило, взимаются (AGB) с лиц, имеющих страховое покрытие для такого же вида лечения.</w:t>
      </w:r>
    </w:p>
    <w:p w14:paraId="3D3AE50C" w14:textId="77777777" w:rsidR="00DB49D8" w:rsidRDefault="001C2B1C" w:rsidP="0069012A">
      <w:pPr>
        <w:pStyle w:val="Heading2"/>
        <w:tabs>
          <w:tab w:val="clear" w:pos="2160"/>
          <w:tab w:val="num" w:pos="2070"/>
        </w:tabs>
        <w:ind w:left="1530"/>
      </w:pPr>
      <w:r w:rsidRPr="005F1901">
        <w:rPr>
          <w:lang w:bidi="ru-RU"/>
        </w:rPr>
        <w:t>Пациента, который не может оплатить свой больничный счет, призывают обратиться за финансовой помощью посредством заполнения заявления на предоставление финансовой помощи. Персонал, занимающийся госпитализацией и социальным обслуживанием, финансовые консультанты и священники, а также офисные сотрудники Texas Health хорошо знают политику финансовой помощи Texas Health и могут ответить на вопросы, касающиеся политики. Все заявления будут рассмотрены и будет принято решение, соответствует ли пациент требованиям для получения финансовой помощи с целью оплаты всего или части больничного счета. Пациент должен принимать активное участие в процедуре отбора больницы с целью оказания финансовой помощи. Сюда входит предоставление больнице информации о фактическом или потенциальном медицинском страховании (включая право на медицинскую помощь в рамках программы Medicaid и доступное покрытие согласно закону COBRA). Пациенту может быть отказано в финансовой помощи, если он вовремя не предоставит запрошенную информацию. В некоторых случаях Texas Health может определить на основании финансовой и другой информации, представленной независимыми третьими сторонами, что пациент имеет право на получение финансовой помощи, даже несмотря на то, что заявление на предоставление финансовой помощи не было подано.</w:t>
      </w:r>
    </w:p>
    <w:p w14:paraId="3D3AE50D" w14:textId="77777777" w:rsidR="00DB49D8" w:rsidRDefault="009167DA" w:rsidP="00B07A95">
      <w:pPr>
        <w:pStyle w:val="Heading3"/>
        <w:tabs>
          <w:tab w:val="clear" w:pos="1674"/>
          <w:tab w:val="num" w:pos="1800"/>
        </w:tabs>
        <w:ind w:left="1800" w:hanging="810"/>
      </w:pPr>
      <w:r w:rsidRPr="005F1901">
        <w:rPr>
          <w:lang w:bidi="ru-RU"/>
        </w:rPr>
        <w:t>Обращение за помощью</w:t>
      </w:r>
    </w:p>
    <w:p w14:paraId="3D3AE50E" w14:textId="77777777" w:rsidR="001C30FA" w:rsidRPr="001C30FA" w:rsidRDefault="00911888" w:rsidP="002805ED">
      <w:pPr>
        <w:pStyle w:val="ListParagraph"/>
        <w:tabs>
          <w:tab w:val="clear" w:pos="3744"/>
          <w:tab w:val="num" w:pos="3600"/>
        </w:tabs>
        <w:spacing w:before="120"/>
        <w:ind w:left="3240"/>
      </w:pPr>
      <w:r w:rsidRPr="001C30FA">
        <w:rPr>
          <w:rStyle w:val="SubtleEmphasis"/>
          <w:lang w:bidi="ru-RU"/>
        </w:rPr>
        <w:t>Способы получения заявления на финансовую помощь</w:t>
      </w:r>
      <w:r w:rsidRPr="001C30FA">
        <w:rPr>
          <w:rStyle w:val="SubtleEmphasis"/>
          <w:lang w:bidi="ru-RU"/>
        </w:rPr>
        <w:br/>
      </w:r>
      <w:r w:rsidR="002A0A17" w:rsidRPr="001C30FA">
        <w:rPr>
          <w:lang w:bidi="ru-RU"/>
        </w:rPr>
        <w:t>Пациент или ответственная сторона может попросить заявление на предоставление финансовой помощи:</w:t>
      </w:r>
    </w:p>
    <w:p w14:paraId="3D3AE50F" w14:textId="77777777" w:rsidR="00497F97" w:rsidRPr="005F1901" w:rsidRDefault="00497F97" w:rsidP="001C30FA">
      <w:pPr>
        <w:pStyle w:val="ListParagraph2"/>
      </w:pPr>
      <w:r w:rsidRPr="005F1901">
        <w:rPr>
          <w:lang w:bidi="ru-RU"/>
        </w:rPr>
        <w:t>лично (приемное отделение во всех больницах)</w:t>
      </w:r>
    </w:p>
    <w:p w14:paraId="3D3AE510" w14:textId="3476DA6B" w:rsidR="00497F97" w:rsidRPr="005F1901" w:rsidRDefault="00497F97" w:rsidP="001C30FA">
      <w:pPr>
        <w:pStyle w:val="ListParagraph2"/>
      </w:pPr>
      <w:r w:rsidRPr="005F1901">
        <w:rPr>
          <w:lang w:bidi="ru-RU"/>
        </w:rPr>
        <w:t xml:space="preserve">по телефону </w:t>
      </w:r>
      <w:r w:rsidR="009F5873" w:rsidRPr="009F5873">
        <w:rPr>
          <w:lang w:bidi="vi-VN"/>
        </w:rPr>
        <w:t>1.800.</w:t>
      </w:r>
      <w:r w:rsidR="009F5873" w:rsidRPr="009F5873">
        <w:rPr>
          <w:lang w:val="en-US" w:bidi="ru-RU"/>
        </w:rPr>
        <w:t>715.7210</w:t>
      </w:r>
    </w:p>
    <w:p w14:paraId="3D3AE511" w14:textId="77777777" w:rsidR="004B089A" w:rsidRDefault="00497F97" w:rsidP="001C30FA">
      <w:pPr>
        <w:pStyle w:val="ListParagraph2"/>
      </w:pPr>
      <w:r w:rsidRPr="005F1901">
        <w:rPr>
          <w:lang w:bidi="ru-RU"/>
        </w:rPr>
        <w:t>по почте 500 E. Border St. Arlington, TX 76010</w:t>
      </w:r>
    </w:p>
    <w:p w14:paraId="3D3AE512" w14:textId="77777777" w:rsidR="00497F97" w:rsidRPr="005F1901" w:rsidRDefault="00497F97" w:rsidP="001C30FA">
      <w:pPr>
        <w:pStyle w:val="ListParagraph2"/>
      </w:pPr>
      <w:r w:rsidRPr="005F1901">
        <w:rPr>
          <w:lang w:bidi="ru-RU"/>
        </w:rPr>
        <w:t>посетив офис (500 E. Border St., Arlington, Texas 76010)</w:t>
      </w:r>
    </w:p>
    <w:p w14:paraId="3D3AE513" w14:textId="2B9D63D8" w:rsidR="004B089A" w:rsidRDefault="00497F97" w:rsidP="001C30FA">
      <w:pPr>
        <w:pStyle w:val="ListParagraph2"/>
      </w:pPr>
      <w:r w:rsidRPr="005F1901">
        <w:rPr>
          <w:lang w:bidi="ru-RU"/>
        </w:rPr>
        <w:t>по электронной почте Customerservice@TexasHealth</w:t>
      </w:r>
      <w:r w:rsidR="009F5873">
        <w:rPr>
          <w:lang w:val="en-US" w:bidi="ru-RU"/>
        </w:rPr>
        <w:t>p</w:t>
      </w:r>
      <w:bookmarkStart w:id="0" w:name="_GoBack"/>
      <w:bookmarkEnd w:id="0"/>
      <w:r w:rsidR="009F5873">
        <w:rPr>
          <w:lang w:val="en-US" w:bidi="ru-RU"/>
        </w:rPr>
        <w:t>artners.com</w:t>
      </w:r>
    </w:p>
    <w:p w14:paraId="3D3AE514" w14:textId="77777777" w:rsidR="00DB49D8" w:rsidRDefault="001C2B1C" w:rsidP="0069012A">
      <w:pPr>
        <w:pStyle w:val="ListParagraph"/>
        <w:tabs>
          <w:tab w:val="clear" w:pos="3744"/>
        </w:tabs>
        <w:ind w:left="3240"/>
      </w:pPr>
      <w:r w:rsidRPr="001C30FA">
        <w:rPr>
          <w:rStyle w:val="SubtleEmphasis"/>
          <w:lang w:bidi="ru-RU"/>
        </w:rPr>
        <w:lastRenderedPageBreak/>
        <w:t>Требования к связи</w:t>
      </w:r>
      <w:r w:rsidRPr="005F1901">
        <w:rPr>
          <w:lang w:bidi="ru-RU"/>
        </w:rPr>
        <w:t xml:space="preserve"> — любому лицу, желающему получить медицинские услуги в больнице Texas Health, во время госпитализации следует предоставить письменную информацию о политике финансовой помощи Texas Health. Больница обязуется прилагать разумные усилия для устного информирования пациентов о политике финансовой помощи и о получении помощи с подачей заявления в различные моменты до, во время и после получения услуг пациентом. Информация для пациентов о существовании политики финансовой помощи Texas Health на английском и испанском языках будет размещена на видном месте в приемном отделении, в отделении неотложной помощи больницы и в других местах, которые больница считает подходящими. Кроме того, информация о политике финансовой помощи Texas Health будет публиковаться на веб-сайте Texas Health. Указания относительно процедуры подачи заявления можно найти на обратной стороне каждого счета THR. Пациентам дается 130 дней для обращения за финансовой помощью, после чего сотрудники коллекторского агентства могут внести негативную запись в кредитный отчет.</w:t>
      </w:r>
    </w:p>
    <w:p w14:paraId="3D3AE515" w14:textId="77777777" w:rsidR="00DB49D8" w:rsidRDefault="001C2B1C" w:rsidP="002805ED">
      <w:pPr>
        <w:pStyle w:val="ListParagraph"/>
        <w:tabs>
          <w:tab w:val="clear" w:pos="3744"/>
        </w:tabs>
        <w:ind w:left="3240"/>
      </w:pPr>
      <w:r w:rsidRPr="001C30FA">
        <w:rPr>
          <w:rStyle w:val="SubtleEmphasis"/>
          <w:lang w:bidi="ru-RU"/>
        </w:rPr>
        <w:t>Консультирование пациента</w:t>
      </w:r>
      <w:r w:rsidRPr="005F1901">
        <w:rPr>
          <w:lang w:bidi="ru-RU"/>
        </w:rPr>
        <w:t xml:space="preserve"> — персонал приемного отделения, офисный персонал, сотрудники по оказанию социальных услуг, финансовые консультанты и/или больничные священники должны советовать пациентам, которые подвержены финансовому риску в результате расходов, которые они должны будут понести за лечение, подать заявление на предоставление финансовой помощи Texas Health. Чтобы облегчить этот процесс, рекомендуется пройти проверку финансового состояния и подать заявление на предоставление финансовой помощи до выписки из больницы. В соответствии с требованиями Закона об оказании неотложной медицинской помощи и помощи при активных родах, проверка на предмет наличия права на получение финансовой помощи ни в коем случае не будет проходить до момента предоставления неотложной медицинской помощи.</w:t>
      </w:r>
    </w:p>
    <w:p w14:paraId="3D3AE516" w14:textId="77777777" w:rsidR="00DB49D8" w:rsidRDefault="001C30FA" w:rsidP="002805ED">
      <w:pPr>
        <w:pStyle w:val="ListParagraph"/>
        <w:tabs>
          <w:tab w:val="clear" w:pos="3744"/>
          <w:tab w:val="num" w:pos="3690"/>
        </w:tabs>
        <w:ind w:left="3240"/>
      </w:pPr>
      <w:r>
        <w:rPr>
          <w:rStyle w:val="SubtleEmphasis"/>
          <w:lang w:bidi="ru-RU"/>
        </w:rPr>
        <w:t>Финансовая помощь — запрос, поданный пациентом/ответственной стороной</w:t>
      </w:r>
      <w:r w:rsidR="001C2B1C" w:rsidRPr="005F1901">
        <w:rPr>
          <w:lang w:bidi="ru-RU"/>
        </w:rPr>
        <w:t xml:space="preserve"> — заявление на предоставление финансовой помощи </w:t>
      </w:r>
      <w:r w:rsidR="001C2B1C" w:rsidRPr="005F1901">
        <w:rPr>
          <w:lang w:bidi="ru-RU"/>
        </w:rPr>
        <w:lastRenderedPageBreak/>
        <w:t>необходимо предоставить любому лицу, претендующему на финансовую помощь. Финансовая помощь может быть предоставлена только в случае наличия достаточной информации для принятия решения о том, что пациент отвечает требованиям руководящих принципов отбора, изложенным в приложении А данной политики. Texas Health может использовать информацию, указанную в финансовых заявлениях, и информацию, полученную из независимых источников, для оценки права пациента на получение финансовой помощи.</w:t>
      </w:r>
    </w:p>
    <w:p w14:paraId="3D3AE517" w14:textId="77777777" w:rsidR="00DB49D8" w:rsidRDefault="001C2B1C" w:rsidP="002805ED">
      <w:pPr>
        <w:pStyle w:val="ListParagraph"/>
        <w:tabs>
          <w:tab w:val="clear" w:pos="3744"/>
        </w:tabs>
        <w:ind w:left="3240"/>
      </w:pPr>
      <w:r w:rsidRPr="00AC46A6">
        <w:rPr>
          <w:rStyle w:val="SubtleEmphasis"/>
          <w:lang w:bidi="ru-RU"/>
        </w:rPr>
        <w:t>Запросы, поданные от имени пациента</w:t>
      </w:r>
      <w:r w:rsidRPr="005F1901">
        <w:rPr>
          <w:lang w:bidi="ru-RU"/>
        </w:rPr>
        <w:t xml:space="preserve"> — запрос об оказании финансовой помощи может быть подан медицинским персоналом Texas Health и/или его представителем (от имени пациента или ответственной стороны), который знает финансовую ситуацию пациента. Все известные обстоятельства о финансовом положении пациента должны быть задокументированы в запросе, поданном персоналом Texas Health.</w:t>
      </w:r>
    </w:p>
    <w:p w14:paraId="3D3AE518" w14:textId="77777777" w:rsidR="004B089A" w:rsidRDefault="00767E5E" w:rsidP="002805ED">
      <w:pPr>
        <w:pStyle w:val="ListParagraph"/>
        <w:tabs>
          <w:tab w:val="clear" w:pos="3744"/>
        </w:tabs>
        <w:ind w:left="3240"/>
      </w:pPr>
      <w:r w:rsidRPr="00AC46A6">
        <w:rPr>
          <w:rStyle w:val="SubtleEmphasis"/>
          <w:lang w:bidi="ru-RU"/>
        </w:rPr>
        <w:t>Запрос, поданный третьей стороной</w:t>
      </w:r>
      <w:r w:rsidRPr="005F1901">
        <w:rPr>
          <w:lang w:bidi="ru-RU"/>
        </w:rPr>
        <w:t xml:space="preserve"> — Texas Health может принять решение, что пациент имеет право на получение финансовой помощи в соответствии с политикой путем проверки и анализа финансовой и прочей информации, предоставленной независимой стороной. В таких ситуациях официальное заявление на предоставление финансовой помощи не требуется.</w:t>
      </w:r>
    </w:p>
    <w:p w14:paraId="3D3AE519" w14:textId="77777777" w:rsidR="00DB49D8" w:rsidRDefault="001C2B1C" w:rsidP="002805ED">
      <w:pPr>
        <w:pStyle w:val="ListParagraph"/>
        <w:tabs>
          <w:tab w:val="clear" w:pos="3744"/>
        </w:tabs>
        <w:ind w:left="3240"/>
      </w:pPr>
      <w:r w:rsidRPr="00AC46A6">
        <w:rPr>
          <w:rStyle w:val="SubtleEmphasis"/>
          <w:lang w:bidi="ru-RU"/>
        </w:rPr>
        <w:t>Последующие действия по взысканию платежей</w:t>
      </w:r>
      <w:r w:rsidRPr="005F1901">
        <w:rPr>
          <w:lang w:bidi="ru-RU"/>
        </w:rPr>
        <w:t xml:space="preserve"> — как правило, не должны предприниматься никакие последующие попытки по взысканию с пациента или ответственной стороны платежей, списание которых было утверждено в размере 100% согласно политике финансовой помощи Texas Health (с учетом права на суброгацию), за исключением тех случаев, когда пациент или ответственная сторона получает компенсацию от любой третьей стороны или из другого источника. Утверждение финансовой корректировки не должно толковаться как отказ Texas Health от взыскания с больницы сумм в счет возмещения задолженности третьей стороны, связанной соответствующими обязательствами, от имени пациента. Финансовые скидки могут быть полностью или частично отменены в случае получения компенсации от третьей стороны или из другого источника.</w:t>
      </w:r>
    </w:p>
    <w:p w14:paraId="3D3AE51A" w14:textId="77777777" w:rsidR="00DB49D8" w:rsidRPr="00AC46A6" w:rsidRDefault="001C2B1C" w:rsidP="002805ED">
      <w:pPr>
        <w:pStyle w:val="ListParagraph"/>
        <w:tabs>
          <w:tab w:val="clear" w:pos="3744"/>
        </w:tabs>
        <w:ind w:left="3240"/>
        <w:rPr>
          <w:rStyle w:val="SubtleEmphasis"/>
        </w:rPr>
      </w:pPr>
      <w:r w:rsidRPr="00AC46A6">
        <w:rPr>
          <w:rStyle w:val="SubtleEmphasis"/>
          <w:lang w:bidi="ru-RU"/>
        </w:rPr>
        <w:t>В течение первых 120 дней будут иметь место следующие действия по взысканию задолженности по счету за медицинские услуги:</w:t>
      </w:r>
    </w:p>
    <w:p w14:paraId="3D3AE51B" w14:textId="77777777" w:rsidR="00DB49D8" w:rsidRPr="00AC46A6" w:rsidRDefault="001C2B1C" w:rsidP="002805ED">
      <w:pPr>
        <w:pStyle w:val="ListParagraph2"/>
        <w:tabs>
          <w:tab w:val="clear" w:pos="4464"/>
        </w:tabs>
        <w:ind w:left="3870"/>
        <w:rPr>
          <w:i/>
          <w:iCs/>
        </w:rPr>
      </w:pPr>
      <w:r w:rsidRPr="005F1901">
        <w:rPr>
          <w:lang w:bidi="ru-RU"/>
        </w:rPr>
        <w:t xml:space="preserve">Пациенту будут направляться итоговые счета </w:t>
      </w:r>
      <w:r w:rsidRPr="005F1901">
        <w:rPr>
          <w:i/>
          <w:lang w:bidi="ru-RU"/>
        </w:rPr>
        <w:t>(со следующей информацией: общая сумма расходов, страховые платежи, скидки, платежи пациента и текущее сальдо).</w:t>
      </w:r>
    </w:p>
    <w:p w14:paraId="3D3AE51C" w14:textId="77777777" w:rsidR="00DB49D8" w:rsidRDefault="001C2B1C" w:rsidP="002805ED">
      <w:pPr>
        <w:pStyle w:val="ListParagraph2"/>
        <w:tabs>
          <w:tab w:val="clear" w:pos="4464"/>
        </w:tabs>
        <w:ind w:left="3870"/>
      </w:pPr>
      <w:r w:rsidRPr="005F1901">
        <w:rPr>
          <w:lang w:bidi="ru-RU"/>
        </w:rPr>
        <w:t>С помощью системы автодозвона пациенту будут сделаны телефонные звонки.</w:t>
      </w:r>
    </w:p>
    <w:p w14:paraId="3D3AE51D" w14:textId="77777777" w:rsidR="00DB49D8" w:rsidRDefault="001C2B1C" w:rsidP="002805ED">
      <w:pPr>
        <w:pStyle w:val="ListParagraph2"/>
        <w:tabs>
          <w:tab w:val="clear" w:pos="4464"/>
        </w:tabs>
        <w:ind w:left="3870"/>
      </w:pPr>
      <w:r w:rsidRPr="005F1901">
        <w:rPr>
          <w:lang w:bidi="ru-RU"/>
        </w:rPr>
        <w:t>Пациент будет получать письма-напоминания, отправляемые агентствами по договору с Texas Health. (Кредитная отчетность не будет составляться в течение первых 120 дней с момента выписки)</w:t>
      </w:r>
    </w:p>
    <w:p w14:paraId="3D3AE51E" w14:textId="77777777" w:rsidR="00DB49D8" w:rsidRPr="00AC46A6" w:rsidRDefault="001C2B1C" w:rsidP="002805ED">
      <w:pPr>
        <w:pStyle w:val="ListParagraph"/>
        <w:tabs>
          <w:tab w:val="clear" w:pos="3744"/>
        </w:tabs>
        <w:ind w:left="3240"/>
        <w:rPr>
          <w:rStyle w:val="SubtleEmphasis"/>
        </w:rPr>
      </w:pPr>
      <w:r w:rsidRPr="00AC46A6">
        <w:rPr>
          <w:rStyle w:val="SubtleEmphasis"/>
          <w:lang w:bidi="ru-RU"/>
        </w:rPr>
        <w:t>Меры, которые могут быть приняты для получения платежа после просрочки оплаты счета за лечение, по меньшей мере, в течение 120 дней, включают:</w:t>
      </w:r>
    </w:p>
    <w:p w14:paraId="3D3AE51F" w14:textId="77777777" w:rsidR="004B089A" w:rsidRDefault="001C2B1C" w:rsidP="002805ED">
      <w:pPr>
        <w:pStyle w:val="ListParagraph2"/>
        <w:tabs>
          <w:tab w:val="clear" w:pos="4464"/>
        </w:tabs>
        <w:ind w:left="3870"/>
      </w:pPr>
      <w:r w:rsidRPr="005F1901">
        <w:rPr>
          <w:lang w:bidi="ru-RU"/>
        </w:rPr>
        <w:t>Перевод счета пациента в стороннее коллекторское агентство. Коллекторское агентство будет пытаться получить ответ от пациента или ответственной стороны с помощью писем и телефонных звонков в течение, как минимум, 30 дней после получения счета.</w:t>
      </w:r>
    </w:p>
    <w:p w14:paraId="3D3AE520" w14:textId="77777777" w:rsidR="004B089A" w:rsidRDefault="001C2B1C" w:rsidP="002805ED">
      <w:pPr>
        <w:pStyle w:val="ListParagraph2"/>
        <w:tabs>
          <w:tab w:val="clear" w:pos="4464"/>
        </w:tabs>
        <w:ind w:left="3870"/>
      </w:pPr>
      <w:r w:rsidRPr="005F1901">
        <w:rPr>
          <w:lang w:bidi="ru-RU"/>
        </w:rPr>
        <w:t>Внесение записи о просрочке платежа в кредитную историю не ранее чем через 30 дней после получения счета.</w:t>
      </w:r>
    </w:p>
    <w:p w14:paraId="3D3AE521" w14:textId="77777777" w:rsidR="00DB49D8" w:rsidRPr="00AC46A6" w:rsidRDefault="001C2B1C" w:rsidP="002805ED">
      <w:pPr>
        <w:pStyle w:val="Heading3"/>
        <w:ind w:left="2610"/>
        <w:rPr>
          <w:rStyle w:val="SubtleEmphasis"/>
        </w:rPr>
      </w:pPr>
      <w:r w:rsidRPr="00AC46A6">
        <w:rPr>
          <w:rStyle w:val="SubtleEmphasis"/>
          <w:lang w:bidi="ru-RU"/>
        </w:rPr>
        <w:t>Утверждение и отчетность:</w:t>
      </w:r>
    </w:p>
    <w:p w14:paraId="3D3AE522" w14:textId="77777777" w:rsidR="004B089A" w:rsidRDefault="001C2B1C" w:rsidP="002805ED">
      <w:pPr>
        <w:pStyle w:val="ListParagraph"/>
        <w:tabs>
          <w:tab w:val="clear" w:pos="3744"/>
        </w:tabs>
        <w:spacing w:before="240"/>
        <w:ind w:left="3330"/>
      </w:pPr>
      <w:r w:rsidRPr="00AC46A6">
        <w:rPr>
          <w:rStyle w:val="SubtleEmphasis"/>
          <w:lang w:bidi="ru-RU"/>
        </w:rPr>
        <w:t>Управление</w:t>
      </w:r>
      <w:r w:rsidRPr="005F1901">
        <w:rPr>
          <w:lang w:bidi="ru-RU"/>
        </w:rPr>
        <w:t xml:space="preserve"> — старший вице-президент Texas Health по вопросам финансов или финансовый директор каждой больницы отвечает за контроль политики финансовой помощи Texas Health. Вице-президент Texas Health по операциям, связанным с циклами получения дохода, отвечает за оперативное управление политикой финансовой помощи Texas Health.</w:t>
      </w:r>
    </w:p>
    <w:p w14:paraId="3D3AE523" w14:textId="77777777" w:rsidR="00DB49D8" w:rsidRDefault="001C2B1C" w:rsidP="002805ED">
      <w:pPr>
        <w:pStyle w:val="ListParagraph"/>
        <w:tabs>
          <w:tab w:val="clear" w:pos="3744"/>
        </w:tabs>
        <w:spacing w:before="240"/>
        <w:ind w:left="3330"/>
      </w:pPr>
      <w:r w:rsidRPr="00AC46A6">
        <w:rPr>
          <w:rStyle w:val="SubtleEmphasis"/>
          <w:lang w:bidi="ru-RU"/>
        </w:rPr>
        <w:t>Проверка информации</w:t>
      </w:r>
      <w:r w:rsidRPr="005F1901">
        <w:rPr>
          <w:lang w:bidi="ru-RU"/>
        </w:rPr>
        <w:t xml:space="preserve"> — вице-президент Texas Health по операциям, связанным с циклами получения дохода, устанавливает процедуры, определяющие, какую информацию в заявлении необходимо проверить. Установление процедур проверки ни в коем случае не должно ущемлять интересы любой группы пациентов или ненадлежащим образом ограничивать доступ пациентов к финансовой помощи.</w:t>
      </w:r>
    </w:p>
    <w:p w14:paraId="3D3AE524" w14:textId="77777777" w:rsidR="004B089A" w:rsidRDefault="001C2B1C" w:rsidP="002B37F3">
      <w:pPr>
        <w:pStyle w:val="ListParagraph"/>
        <w:tabs>
          <w:tab w:val="clear" w:pos="3744"/>
        </w:tabs>
        <w:spacing w:before="240"/>
        <w:ind w:left="3330"/>
      </w:pPr>
      <w:r w:rsidRPr="00AC46A6">
        <w:rPr>
          <w:rStyle w:val="SubtleEmphasis"/>
          <w:lang w:bidi="ru-RU"/>
        </w:rPr>
        <w:t>Утверждение руководства — уже оказанные услуги</w:t>
      </w:r>
      <w:r w:rsidRPr="005F1901">
        <w:rPr>
          <w:lang w:bidi="ru-RU"/>
        </w:rPr>
        <w:t xml:space="preserve"> — офисный персонал Texas Health рассматривает всю имеющуюся информацию и определяет соответствующий уровень финансовой помощи в соответствии с процедурами, установленными вице-президентом Texas Health по операциям, связанным с циклами получения дохода. Ответственность за окончательное утверждение финансового списания лежит на вице-президенте по операциям, связанным с циклами получения дохода. Обязанность по утверждению передается вышестоящим руководством нижестоящему с учетом текущей суммы задолженности пациента и в соответствии с Матрицей согласований, полномочий и ответственности.</w:t>
      </w:r>
    </w:p>
    <w:p w14:paraId="3D3AE525" w14:textId="77777777" w:rsidR="00DB49D8" w:rsidRDefault="001C2B1C" w:rsidP="00B07A95">
      <w:pPr>
        <w:pStyle w:val="ListParagraph"/>
        <w:tabs>
          <w:tab w:val="clear" w:pos="3744"/>
        </w:tabs>
        <w:spacing w:before="240"/>
        <w:ind w:left="3330"/>
      </w:pPr>
      <w:r w:rsidRPr="00AC46A6">
        <w:rPr>
          <w:rStyle w:val="SubtleEmphasis"/>
          <w:lang w:bidi="ru-RU"/>
        </w:rPr>
        <w:t xml:space="preserve">Одобрение — до момента предоставления услуг </w:t>
      </w:r>
      <w:r w:rsidR="00AC46A6" w:rsidRPr="00AC46A6">
        <w:rPr>
          <w:lang w:bidi="ru-RU"/>
        </w:rPr>
        <w:t>— каждая больница Texas Health, перечисленная в приложении C, осуществляет проверку для определения права на получение финансовой помощи. Иногда пациент или врач может обратиться за решением о соответствии требованиям до момента оказания услуг больницей. В таких случаях президент или финансовый директор юридического лица должен одобрить просьбу. В случае предоставления финансовой помощи отдельным пациентам в ситуациях, когда неотложная медицинская помощь не требуется, руководству больницы следует рассмотреть наличие альтернативных общественных ресурсов, проблемы с непрерывным оказанием медицинской помощи и возможное финансовое влияние на возможность больницы в целом предоставлять финансовую помощь группам населения, которым она оказывает услуги. Независимо от того, одобрена финансовая помощь или нет, пациенты должны получать неотложную медицинскую помощь без промедления.</w:t>
      </w:r>
    </w:p>
    <w:p w14:paraId="3D3AE526" w14:textId="77777777" w:rsidR="004B089A" w:rsidRDefault="001C2B1C" w:rsidP="008C4632">
      <w:pPr>
        <w:pStyle w:val="ListParagraph"/>
        <w:keepNext/>
        <w:tabs>
          <w:tab w:val="clear" w:pos="3744"/>
        </w:tabs>
        <w:ind w:left="3330"/>
      </w:pPr>
      <w:r w:rsidRPr="00AC46A6">
        <w:rPr>
          <w:rStyle w:val="SubtleEmphasis"/>
          <w:lang w:bidi="ru-RU"/>
        </w:rPr>
        <w:t>Уведомление заявителей</w:t>
      </w:r>
      <w:r w:rsidRPr="005F1901">
        <w:rPr>
          <w:lang w:bidi="ru-RU"/>
        </w:rPr>
        <w:t xml:space="preserve"> — как правило, все пациенты, претендующие на финансовую помощь, будут уведомлены в течение разумного периода времени о статусе их запроса.</w:t>
      </w:r>
    </w:p>
    <w:p w14:paraId="3D3AE527" w14:textId="77777777" w:rsidR="00DB49D8" w:rsidRDefault="001C2B1C" w:rsidP="008C4632">
      <w:pPr>
        <w:pStyle w:val="ListParagraph2"/>
        <w:tabs>
          <w:tab w:val="clear" w:pos="4464"/>
        </w:tabs>
        <w:ind w:left="3960"/>
      </w:pPr>
      <w:r w:rsidRPr="008C4632">
        <w:rPr>
          <w:u w:val="single"/>
          <w:lang w:bidi="ru-RU"/>
        </w:rPr>
        <w:t>Одобрено</w:t>
      </w:r>
      <w:r w:rsidRPr="005F1901">
        <w:rPr>
          <w:lang w:bidi="ru-RU"/>
        </w:rPr>
        <w:t xml:space="preserve"> — ответ пациенту будет отправлен по почте в течение 30 дней с момента получения заполненного заявления на предоставление финансовой помощи.</w:t>
      </w:r>
    </w:p>
    <w:p w14:paraId="3D3AE528" w14:textId="77777777" w:rsidR="00DB49D8" w:rsidRDefault="001C2B1C" w:rsidP="008C4632">
      <w:pPr>
        <w:pStyle w:val="ListParagraph2"/>
        <w:tabs>
          <w:tab w:val="clear" w:pos="4464"/>
        </w:tabs>
        <w:ind w:left="3960"/>
      </w:pPr>
      <w:r w:rsidRPr="008C4632">
        <w:rPr>
          <w:u w:val="single"/>
          <w:lang w:bidi="ru-RU"/>
        </w:rPr>
        <w:t>Отказано или заявка на стадии рассмотрения/не предоставлены все необходимые данные</w:t>
      </w:r>
      <w:r w:rsidRPr="005F1901">
        <w:rPr>
          <w:lang w:bidi="ru-RU"/>
        </w:rPr>
        <w:t xml:space="preserve"> — ответ пациенту будет отправлен по почте в течение 30 дней и будет включать инструкции для пациента на случай, если он решит обжаловать любое неблагоприятное решение. Если пациент не заполнил заявление полностью, действия THR по взысканию задолженности будут приостановлены на 30 дней. Если пациент не предоставит необходимые данные, меры по взысканию задолженности будут возобновлены через 30 дней, и в конечном итоге дело может быть передано в коллекторское агентство, а в кредитную историю пациента может быть внесена запись о просрочке платежа.</w:t>
      </w:r>
    </w:p>
    <w:p w14:paraId="3D3AE529" w14:textId="77777777" w:rsidR="004B089A" w:rsidRDefault="001C2B1C" w:rsidP="008C4632">
      <w:pPr>
        <w:pStyle w:val="ListParagraph2"/>
        <w:tabs>
          <w:tab w:val="clear" w:pos="4464"/>
        </w:tabs>
        <w:ind w:left="3960"/>
      </w:pPr>
      <w:r w:rsidRPr="008C4632">
        <w:rPr>
          <w:u w:val="single"/>
          <w:lang w:bidi="ru-RU"/>
        </w:rPr>
        <w:t>Презумпционный/автоматический отбор</w:t>
      </w:r>
      <w:r w:rsidRPr="005F1901">
        <w:rPr>
          <w:lang w:bidi="ru-RU"/>
        </w:rPr>
        <w:t xml:space="preserve"> — извещение не высылается пациентам, получившим одобрение на предоставление финансовой помощи автоматически (на основании презумпционных критериев отбора).</w:t>
      </w:r>
    </w:p>
    <w:p w14:paraId="3D3AE52A" w14:textId="77777777" w:rsidR="004B089A" w:rsidRDefault="001C2B1C" w:rsidP="00B07A95">
      <w:pPr>
        <w:pStyle w:val="ListParagraph"/>
        <w:tabs>
          <w:tab w:val="clear" w:pos="3744"/>
        </w:tabs>
        <w:spacing w:before="240"/>
        <w:ind w:left="3330"/>
      </w:pPr>
      <w:r w:rsidRPr="00AC46A6">
        <w:rPr>
          <w:rStyle w:val="SubtleEmphasis"/>
          <w:lang w:bidi="ru-RU"/>
        </w:rPr>
        <w:t>Апелляции</w:t>
      </w:r>
      <w:r w:rsidRPr="005F1901">
        <w:rPr>
          <w:lang w:bidi="ru-RU"/>
        </w:rPr>
        <w:t xml:space="preserve"> — апелляция в результате отказа в предоставлении финансовой помощи будет рассматриваться в случае документирования существенных изменений в обстоятельствах пациента. Изменения могут включать, в том числе, изменения в статусе занятости, состоянии здоровья или семейном положении. Пациент может подавать апелляцию в любое время в течение первых 365 дней с момента выставления счета.</w:t>
      </w:r>
    </w:p>
    <w:p w14:paraId="3D3AE52B" w14:textId="77777777" w:rsidR="004B089A" w:rsidRDefault="001C2B1C" w:rsidP="00B07A95">
      <w:pPr>
        <w:pStyle w:val="ListParagraph"/>
        <w:tabs>
          <w:tab w:val="clear" w:pos="3744"/>
        </w:tabs>
        <w:spacing w:before="240"/>
        <w:ind w:left="3330"/>
      </w:pPr>
      <w:r w:rsidRPr="00AC46A6">
        <w:rPr>
          <w:rStyle w:val="SubtleEmphasis"/>
          <w:lang w:bidi="ru-RU"/>
        </w:rPr>
        <w:t>Отчетность</w:t>
      </w:r>
      <w:r w:rsidRPr="005F1901">
        <w:rPr>
          <w:lang w:bidi="ru-RU"/>
        </w:rPr>
        <w:t xml:space="preserve"> — все финансовые корректировки должны отображаться в бухгалтерском учете Texas Health на ежемесячной основе, и каждая больница должна вести журнал финансовой помощи. Журналы финансовой помощи должны содержать следующую минимальную информацию: имя пациента, валовую сумму расходов, сумму платежей, полученных на счет пациента, сумму финансовой корректировки и классификацию финансовой помощи (например, пациенты, нуждающиеся в финансовой помощи, пациенты, нуждающиеся в медицинской помощи, или пациенты, не имеющие возможности оплатить дорогостоящее обследование и лечение).</w:t>
      </w:r>
    </w:p>
    <w:p w14:paraId="3D3AE52C" w14:textId="77777777" w:rsidR="004B089A" w:rsidRDefault="001C2B1C" w:rsidP="00B07A95">
      <w:pPr>
        <w:pStyle w:val="ListParagraph"/>
        <w:tabs>
          <w:tab w:val="clear" w:pos="3744"/>
        </w:tabs>
        <w:ind w:left="3330"/>
      </w:pPr>
      <w:r w:rsidRPr="00AC46A6">
        <w:rPr>
          <w:rStyle w:val="SubtleEmphasis"/>
          <w:lang w:bidi="ru-RU"/>
        </w:rPr>
        <w:t>Хранение информации</w:t>
      </w:r>
      <w:r w:rsidRPr="005F1901">
        <w:rPr>
          <w:lang w:bidi="ru-RU"/>
        </w:rPr>
        <w:t xml:space="preserve"> — офис Texas Health должен вести документацию, достаточную для определения дохода каждого пациента, суммы задолженности пациента, осуществленных процедур проверки и одобрения, а также статуса пациента как нуждающегося в финансовой помощи, нуждающегося в медицинской помощи или не имеющего возможности оплатить дорогостоящее обследование и лечение, в течение периода, предусмотренного политикой по вопросам хранения информации.</w:t>
      </w:r>
    </w:p>
    <w:p w14:paraId="3D3AE52D" w14:textId="77777777" w:rsidR="00DB49D8" w:rsidRDefault="00704D6D" w:rsidP="00B07A95">
      <w:pPr>
        <w:pStyle w:val="ListParagraph"/>
        <w:tabs>
          <w:tab w:val="clear" w:pos="3744"/>
        </w:tabs>
        <w:ind w:left="3330"/>
      </w:pPr>
      <w:r w:rsidRPr="00AC46A6">
        <w:rPr>
          <w:rStyle w:val="SubtleEmphasis"/>
          <w:lang w:bidi="ru-RU"/>
        </w:rPr>
        <w:t xml:space="preserve">Остаток средств </w:t>
      </w:r>
      <w:r w:rsidR="00AC46A6">
        <w:rPr>
          <w:lang w:bidi="ru-RU"/>
        </w:rPr>
        <w:t>— пациентам, финансовая помощь которым одобрена, никогда не будет выставлен счет на оставшуюся сумму, превышающую размер AGB (суммы, которые, как правило, выставляются к оплате) Texas Health, как определено в разделе 5.0.</w:t>
      </w:r>
    </w:p>
    <w:p w14:paraId="3D3AE52E" w14:textId="77777777" w:rsidR="00DB49D8" w:rsidRDefault="001C2B1C" w:rsidP="001C30FA">
      <w:pPr>
        <w:pStyle w:val="Heading1"/>
      </w:pPr>
      <w:r w:rsidRPr="005F1901">
        <w:rPr>
          <w:lang w:bidi="ru-RU"/>
        </w:rPr>
        <w:t>Определения:</w:t>
      </w:r>
    </w:p>
    <w:p w14:paraId="3D3AE52F" w14:textId="77777777" w:rsidR="00DB49D8" w:rsidRDefault="00284412" w:rsidP="00B07A95">
      <w:pPr>
        <w:pStyle w:val="Heading2"/>
        <w:tabs>
          <w:tab w:val="clear" w:pos="2160"/>
        </w:tabs>
      </w:pPr>
      <w:r w:rsidRPr="00AC46A6">
        <w:rPr>
          <w:rStyle w:val="SubtleEmphasis"/>
          <w:lang w:bidi="ru-RU"/>
        </w:rPr>
        <w:t xml:space="preserve">Суммы, которые, как правило, выставляются к оплате (AGB) </w:t>
      </w:r>
      <w:r w:rsidRPr="005F1901">
        <w:rPr>
          <w:lang w:bidi="ru-RU"/>
        </w:rPr>
        <w:t>— средняя сумма, которая, как правило, выставляется к оплате застрахованным лицам. В расчет включаются обращения за предыдущий финансовый год (12 месяцев). Такие обращения включают в себя плату за услуги по программе Medicare, а также всех других частных медицинских страховых компаний. Каждая из больниц, которая принимает эту политику отдельно, подсчитывает процент AGB ежегодно и использует ретроспективный метод согласно разделу 501(r) Налогового кодекса. Texas Health сравнивает сумму, уплаченную застрахованными пациентами и их страховыми компаниями в предыдущем финансовом году. С пациента, финансовая помощь которому одобрена, не может быть взыскана сумма, превышающая AGB. THR применяет единую ставку для всех больниц, принявших эту политику финансовой помощи. AGB рассчитывается ежегодно, и старший вице-президент Texas Health по финансовым вопросам определяет единую ставку AGB, которая не может превышать самую низкую сумму AGB отдельной больницы. Копия расчета находится в приложении D.</w:t>
      </w:r>
    </w:p>
    <w:p w14:paraId="3D3AE530" w14:textId="77777777" w:rsidR="00DB49D8" w:rsidRDefault="001C2B1C" w:rsidP="00AC46A6">
      <w:pPr>
        <w:pStyle w:val="Heading2"/>
      </w:pPr>
      <w:r w:rsidRPr="00AC46A6">
        <w:rPr>
          <w:rStyle w:val="SubtleEmphasis"/>
          <w:lang w:bidi="ru-RU"/>
        </w:rPr>
        <w:t xml:space="preserve">Годовой доход </w:t>
      </w:r>
      <w:r w:rsidR="00AC46A6" w:rsidRPr="00AC46A6">
        <w:rPr>
          <w:lang w:bidi="ru-RU"/>
        </w:rPr>
        <w:t xml:space="preserve"> — если пациент совершеннолетний, термин «годовой доход» относится к общей валовой сумме годового дохода пациента и любой другой ответственной стороны. Если пациент находится в браке, годовой доход будет также включать общую валовую сумму годового дохода супруга(-и) пациента. Если пациент несовершеннолетний, термин «годовой доход» относится к общей валовой сумме годового дохода пациента, родителей и/или любой другой ответственной стороны.</w:t>
      </w:r>
    </w:p>
    <w:p w14:paraId="3D3AE531" w14:textId="77777777" w:rsidR="004B089A" w:rsidRDefault="00284412" w:rsidP="00AC46A6">
      <w:pPr>
        <w:pStyle w:val="Heading2"/>
      </w:pPr>
      <w:r w:rsidRPr="00AC46A6">
        <w:rPr>
          <w:rStyle w:val="SubtleEmphasis"/>
          <w:lang w:bidi="ru-RU"/>
        </w:rPr>
        <w:t xml:space="preserve">Текущая сумма задолженности пациента </w:t>
      </w:r>
      <w:r w:rsidR="00AC46A6" w:rsidRPr="00AC46A6">
        <w:rPr>
          <w:lang w:bidi="ru-RU"/>
        </w:rPr>
        <w:t xml:space="preserve"> — задолженность пациента после учета соответствующих платежей третьей стороны и скидок. Для пациентов без страховки эта сумма представляет собой остаток после предоставления скидки незастрахованным пациентам.</w:t>
      </w:r>
    </w:p>
    <w:p w14:paraId="3D3AE532" w14:textId="77777777" w:rsidR="00DB49D8" w:rsidRDefault="00284412" w:rsidP="00AC46A6">
      <w:pPr>
        <w:pStyle w:val="Heading2"/>
      </w:pPr>
      <w:r w:rsidRPr="00AC46A6">
        <w:rPr>
          <w:rStyle w:val="SubtleEmphasis"/>
          <w:lang w:bidi="ru-RU"/>
        </w:rPr>
        <w:t xml:space="preserve">Критерии соответствия установленным требованиям </w:t>
      </w:r>
      <w:r w:rsidR="00AC46A6" w:rsidRPr="00AC46A6">
        <w:rPr>
          <w:lang w:bidi="ru-RU"/>
        </w:rPr>
        <w:t>— финансовые критерии и процедуры, установленные данной политикой финансовой помощи, описаны в приложении A. Финансовые критерии должны включать уровни дохода, индексированные до федерального уровня бедности, и проверку материального положения. Финансовые критерии не устанавливают уровень дохода для получения финансовой помощи ниже, чем это требуется округами штата Техас согласно разделу 61.023 Закона о медицинском обслуживании и лечении неимущих или выше; если речь идет о пациентах, нуждающихся в финансовой помощи, применяется 200 процентов от федерального уровня бедности. Федеральный уровень бедности публикуется в Федеральном реестре в феврале каждого года и для целей настоящей политики финансовой помощи вступит в силу в первый день месяца, следующего за месяцем публикации. Руководящие принципы, опубликованные Управлением по вопросам здравоохранения штата Техас, находятся на его сайте.</w:t>
      </w:r>
    </w:p>
    <w:p w14:paraId="3D3AE533" w14:textId="77777777" w:rsidR="004B089A" w:rsidRDefault="009022C3" w:rsidP="00AC46A6">
      <w:pPr>
        <w:pStyle w:val="Heading2"/>
      </w:pPr>
      <w:r w:rsidRPr="00AC46A6">
        <w:rPr>
          <w:rStyle w:val="SubtleEmphasis"/>
          <w:lang w:bidi="ru-RU"/>
        </w:rPr>
        <w:t xml:space="preserve">Чрезвычайные меры по взысканию задолженности (ECA) </w:t>
      </w:r>
      <w:r w:rsidR="00AC46A6" w:rsidRPr="00AC46A6">
        <w:rPr>
          <w:lang w:bidi="ru-RU"/>
        </w:rPr>
        <w:t xml:space="preserve"> — согласно разделу 501(r) Налогового кодекса, определенные действия, предпринятые больницей в отношении конкретного лица, связанные с оплатой больничного счета, считаются чрезвычайными мерами по взысканию задолженности. Единственной чрезвычайной мерой по взысканию задолженности, которая будет принята в рамках данной политики, является предоставление негативной информации агентству информации о потребительском кредитовании или бюро кредитной информации либо больницей Texas Health, либо одним из ее представителей. Этот тип отчетности будет иметь место не раньше, чем через 130 дней с момента выставления первого счета после госпитализации.</w:t>
      </w:r>
    </w:p>
    <w:p w14:paraId="3D3AE534" w14:textId="77777777" w:rsidR="004B089A" w:rsidRDefault="00AF08D4" w:rsidP="001C30FA">
      <w:pPr>
        <w:pStyle w:val="Heading2"/>
      </w:pPr>
      <w:r w:rsidRPr="004B089A">
        <w:rPr>
          <w:rStyle w:val="SubtleEmphasis"/>
          <w:lang w:bidi="ru-RU"/>
        </w:rPr>
        <w:t>Заявление на предоставление финансовой помощи</w:t>
      </w:r>
      <w:r w:rsidR="001C2B1C" w:rsidRPr="005F1901">
        <w:rPr>
          <w:lang w:bidi="ru-RU"/>
        </w:rPr>
        <w:t xml:space="preserve"> — письменная просьба от пациента, ответственной стороны или другой заинтересованной стороны об оказании финансовой помощи согласно политике финансовой помощи Texas Health, которая обобщает финансовые и другие сведения, необходимые для определения права на получение такой помощи. Содержание заявления на предоставление финансовой помощи будет определяться вице-президентом по операциям, связанным с циклами получения дохода или его/ее представителем (см. копию заявления о предоставлении финансовой помощи Texas Health в приложении D).</w:t>
      </w:r>
    </w:p>
    <w:p w14:paraId="3D3AE535" w14:textId="77777777" w:rsidR="00DB49D8" w:rsidRDefault="001C2B1C" w:rsidP="001C30FA">
      <w:pPr>
        <w:pStyle w:val="Heading2"/>
      </w:pPr>
      <w:r w:rsidRPr="004B089A">
        <w:rPr>
          <w:rStyle w:val="SubtleEmphasis"/>
          <w:lang w:bidi="ru-RU"/>
        </w:rPr>
        <w:t xml:space="preserve">Нуждающийся в финансовой помощи </w:t>
      </w:r>
      <w:r w:rsidR="00AC46A6">
        <w:rPr>
          <w:lang w:bidi="ru-RU"/>
        </w:rPr>
        <w:t>— незастрахованный или застрахованный на низкую сумму пациент, чей годовой доход не превышает 200% соответствующего федерального уровня бедности. Ситуация каждого пациента будут оцениваться согласно текущим соответствующим обстоятельствам, таким как доход, имущество или другие финансовые ресурсы, имеющиеся у пациента или семьи пациента.</w:t>
      </w:r>
    </w:p>
    <w:p w14:paraId="3D3AE536" w14:textId="77777777" w:rsidR="00DB49D8" w:rsidRDefault="001C2B1C" w:rsidP="001C30FA">
      <w:pPr>
        <w:pStyle w:val="Heading2"/>
      </w:pPr>
      <w:r w:rsidRPr="004B089A">
        <w:rPr>
          <w:rStyle w:val="SubtleEmphasis"/>
          <w:lang w:bidi="ru-RU"/>
        </w:rPr>
        <w:t xml:space="preserve">Нуждающийся в медицинской помощи </w:t>
      </w:r>
      <w:r w:rsidR="00AC46A6">
        <w:rPr>
          <w:lang w:bidi="ru-RU"/>
        </w:rPr>
        <w:t>—человек, чья текущая сумма задолженности как пациента превышает указанный процент годового дохода пациента; определяется в соответствии с Руководящими принципами отбора, подробно изложенными в приложении А данной политики.</w:t>
      </w:r>
    </w:p>
    <w:p w14:paraId="3D3AE537" w14:textId="77777777" w:rsidR="004B089A" w:rsidRDefault="001C2B1C" w:rsidP="001C30FA">
      <w:pPr>
        <w:pStyle w:val="Heading2"/>
      </w:pPr>
      <w:r w:rsidRPr="004B089A">
        <w:rPr>
          <w:rStyle w:val="SubtleEmphasis"/>
          <w:lang w:bidi="ru-RU"/>
        </w:rPr>
        <w:t>Необходимая медицинская помощь</w:t>
      </w:r>
      <w:r w:rsidRPr="005F1901">
        <w:rPr>
          <w:lang w:bidi="ru-RU"/>
        </w:rPr>
        <w:t xml:space="preserve"> — в целом, это внеплановое стационарное и амбулаторное лечение неотложных состояний, расходы за которое возмещаются по программам Medicare и/или Medicaid.</w:t>
      </w:r>
    </w:p>
    <w:p w14:paraId="3D3AE538" w14:textId="77777777" w:rsidR="00DB49D8" w:rsidRDefault="001C2B1C" w:rsidP="001C30FA">
      <w:pPr>
        <w:pStyle w:val="Heading2"/>
      </w:pPr>
      <w:r w:rsidRPr="004B089A">
        <w:rPr>
          <w:rStyle w:val="SubtleEmphasis"/>
          <w:lang w:bidi="ru-RU"/>
        </w:rPr>
        <w:t xml:space="preserve">Политика финансовой помощи Texas Health </w:t>
      </w:r>
      <w:r w:rsidR="00AC46A6">
        <w:rPr>
          <w:lang w:bidi="ru-RU"/>
        </w:rPr>
        <w:t>— политика, осуществляемая Texas Health для оказания финансовой помощи пациентам, которые относятся к таким категориям, как нуждающиеся в финансовой помощи, нуждающиеся в медицинской помощи или неплатежеспособные в случае крупных медицинских расходов. Руководящие принципы отбора для оказания финансовой помощи подробно изложены в приложении А данной политики.</w:t>
      </w:r>
    </w:p>
    <w:p w14:paraId="3D3AE539" w14:textId="77777777" w:rsidR="00DB49D8" w:rsidRDefault="001C2B1C" w:rsidP="001C30FA">
      <w:pPr>
        <w:pStyle w:val="Heading1"/>
      </w:pPr>
      <w:r w:rsidRPr="005F1901">
        <w:rPr>
          <w:lang w:bidi="ru-RU"/>
        </w:rPr>
        <w:t>Ответственные стороны:</w:t>
      </w:r>
    </w:p>
    <w:p w14:paraId="3D3AE53A" w14:textId="77777777" w:rsidR="001C2B1C" w:rsidRPr="005F1901" w:rsidRDefault="00844B5B" w:rsidP="00B07A95">
      <w:pPr>
        <w:pStyle w:val="Heading2"/>
        <w:tabs>
          <w:tab w:val="clear" w:pos="2160"/>
        </w:tabs>
        <w:ind w:left="1440"/>
      </w:pPr>
      <w:r w:rsidRPr="004B089A">
        <w:rPr>
          <w:rStyle w:val="SubtleEmphasis"/>
          <w:lang w:bidi="ru-RU"/>
        </w:rPr>
        <w:t>Старший вице-президент Texas Health по вопросам финансов</w:t>
      </w:r>
      <w:r w:rsidR="001C2B1C" w:rsidRPr="005F1901">
        <w:rPr>
          <w:lang w:bidi="ru-RU"/>
        </w:rPr>
        <w:t>:</w:t>
      </w:r>
    </w:p>
    <w:p w14:paraId="3D3AE53B" w14:textId="77777777" w:rsidR="00DB49D8" w:rsidRDefault="001C2B1C" w:rsidP="00B07A95">
      <w:pPr>
        <w:pStyle w:val="Heading3"/>
        <w:tabs>
          <w:tab w:val="clear" w:pos="1674"/>
        </w:tabs>
        <w:spacing w:before="0"/>
        <w:ind w:left="2250"/>
      </w:pPr>
      <w:r w:rsidRPr="005F1901">
        <w:rPr>
          <w:lang w:bidi="ru-RU"/>
        </w:rPr>
        <w:t>Отвечает за контроль за осуществлением политики финансовой помощи Texas Health.</w:t>
      </w:r>
    </w:p>
    <w:p w14:paraId="3D3AE53C" w14:textId="77777777" w:rsidR="001C2B1C" w:rsidRPr="005F1901" w:rsidRDefault="001C2B1C" w:rsidP="00B07A95">
      <w:pPr>
        <w:pStyle w:val="Heading2"/>
        <w:tabs>
          <w:tab w:val="clear" w:pos="2160"/>
        </w:tabs>
        <w:ind w:left="1440"/>
      </w:pPr>
      <w:r w:rsidRPr="004B089A">
        <w:rPr>
          <w:rStyle w:val="SubtleEmphasis"/>
          <w:lang w:bidi="ru-RU"/>
        </w:rPr>
        <w:t>Вице-президент Texas Health по операциям, связанным с циклами получения дохода</w:t>
      </w:r>
      <w:r w:rsidRPr="005F1901">
        <w:rPr>
          <w:lang w:bidi="ru-RU"/>
        </w:rPr>
        <w:t>.</w:t>
      </w:r>
    </w:p>
    <w:p w14:paraId="3D3AE53D" w14:textId="77777777" w:rsidR="00DB49D8" w:rsidRDefault="001C2B1C" w:rsidP="00B07A95">
      <w:pPr>
        <w:pStyle w:val="Heading3"/>
        <w:tabs>
          <w:tab w:val="clear" w:pos="1674"/>
        </w:tabs>
        <w:spacing w:before="0"/>
        <w:ind w:left="2250"/>
      </w:pPr>
      <w:r w:rsidRPr="005F1901">
        <w:rPr>
          <w:lang w:bidi="ru-RU"/>
        </w:rPr>
        <w:t>Отвечает за оперативное управление политикой финансовой помощи Texas Health.</w:t>
      </w:r>
    </w:p>
    <w:p w14:paraId="3D3AE53E" w14:textId="77777777" w:rsidR="001C2B1C" w:rsidRPr="005F1901" w:rsidRDefault="001C2B1C" w:rsidP="00B07A95">
      <w:pPr>
        <w:pStyle w:val="Heading2"/>
        <w:tabs>
          <w:tab w:val="clear" w:pos="2160"/>
        </w:tabs>
        <w:ind w:left="1440"/>
      </w:pPr>
      <w:r w:rsidRPr="004B089A">
        <w:rPr>
          <w:rStyle w:val="SubtleEmphasis"/>
          <w:lang w:bidi="ru-RU"/>
        </w:rPr>
        <w:t>Офисный персонал Texas Health</w:t>
      </w:r>
      <w:r w:rsidRPr="005F1901">
        <w:rPr>
          <w:lang w:bidi="ru-RU"/>
        </w:rPr>
        <w:t>.</w:t>
      </w:r>
    </w:p>
    <w:p w14:paraId="3D3AE53F" w14:textId="77777777" w:rsidR="004B089A" w:rsidRDefault="001C2B1C" w:rsidP="00B07A95">
      <w:pPr>
        <w:pStyle w:val="Heading3"/>
        <w:tabs>
          <w:tab w:val="clear" w:pos="1674"/>
        </w:tabs>
        <w:spacing w:before="0"/>
        <w:ind w:left="2340"/>
      </w:pPr>
      <w:r w:rsidRPr="005F1901">
        <w:rPr>
          <w:lang w:bidi="ru-RU"/>
        </w:rPr>
        <w:t>Отвечает за информирование всех пациентов о существовании политики финансовой помощи Texas Health.</w:t>
      </w:r>
    </w:p>
    <w:p w14:paraId="3D3AE540" w14:textId="77777777" w:rsidR="00DB49D8" w:rsidRDefault="001C2B1C" w:rsidP="00B07A95">
      <w:pPr>
        <w:pStyle w:val="Heading3"/>
        <w:tabs>
          <w:tab w:val="clear" w:pos="1674"/>
        </w:tabs>
        <w:spacing w:before="120"/>
        <w:ind w:left="2340"/>
      </w:pPr>
      <w:r w:rsidRPr="005F1901">
        <w:rPr>
          <w:lang w:bidi="ru-RU"/>
        </w:rPr>
        <w:t>Отвечает за проверку заявлений на предоставление финансовой помощи и определение уровня финансовой помощи.</w:t>
      </w:r>
    </w:p>
    <w:p w14:paraId="3D3AE541" w14:textId="77777777" w:rsidR="004B089A" w:rsidRDefault="001C30FA" w:rsidP="00B07A95">
      <w:pPr>
        <w:pStyle w:val="Heading3"/>
        <w:tabs>
          <w:tab w:val="clear" w:pos="1674"/>
        </w:tabs>
        <w:spacing w:before="120"/>
        <w:ind w:left="2340"/>
      </w:pPr>
      <w:r>
        <w:rPr>
          <w:lang w:bidi="ru-RU"/>
        </w:rPr>
        <w:t>Отвечает за уведомление заявителей о статусе их обращения об оказании финансовой помощи и их праве на обжалование неблагоприятного решения.</w:t>
      </w:r>
    </w:p>
    <w:p w14:paraId="3D3AE542" w14:textId="77777777" w:rsidR="00DB49D8" w:rsidRDefault="001C2B1C" w:rsidP="00B07A95">
      <w:pPr>
        <w:pStyle w:val="Heading3"/>
        <w:tabs>
          <w:tab w:val="clear" w:pos="1674"/>
        </w:tabs>
        <w:spacing w:before="120"/>
        <w:ind w:left="2340"/>
      </w:pPr>
      <w:r w:rsidRPr="005F1901">
        <w:rPr>
          <w:lang w:bidi="ru-RU"/>
        </w:rPr>
        <w:t>Отвечает за обработку апелляций тех лиц, которым было отказано в финансовой помощи.</w:t>
      </w:r>
    </w:p>
    <w:p w14:paraId="3D3AE543" w14:textId="77777777" w:rsidR="00DB49D8" w:rsidRDefault="001C2B1C" w:rsidP="00B07A95">
      <w:pPr>
        <w:pStyle w:val="Heading3"/>
        <w:tabs>
          <w:tab w:val="clear" w:pos="1674"/>
        </w:tabs>
        <w:spacing w:before="120"/>
        <w:ind w:left="2340"/>
      </w:pPr>
      <w:r w:rsidRPr="005F1901">
        <w:rPr>
          <w:lang w:bidi="ru-RU"/>
        </w:rPr>
        <w:t>Отвечает за хранение документации, касающейся определения соответствия финансовым требованиям.</w:t>
      </w:r>
    </w:p>
    <w:p w14:paraId="3D3AE544" w14:textId="77777777" w:rsidR="001C2B1C" w:rsidRPr="005F1901" w:rsidRDefault="001C2B1C" w:rsidP="00B07A95">
      <w:pPr>
        <w:pStyle w:val="Heading2"/>
        <w:tabs>
          <w:tab w:val="clear" w:pos="2160"/>
        </w:tabs>
        <w:ind w:left="1440"/>
      </w:pPr>
      <w:r w:rsidRPr="004B089A">
        <w:rPr>
          <w:rStyle w:val="SubtleEmphasis"/>
          <w:lang w:bidi="ru-RU"/>
        </w:rPr>
        <w:t>Больницы Texas Health — все</w:t>
      </w:r>
      <w:r w:rsidRPr="005F1901">
        <w:rPr>
          <w:lang w:bidi="ru-RU"/>
        </w:rPr>
        <w:t>.</w:t>
      </w:r>
    </w:p>
    <w:p w14:paraId="3D3AE545" w14:textId="77777777" w:rsidR="004B089A" w:rsidRDefault="001C2B1C" w:rsidP="00B07A95">
      <w:pPr>
        <w:pStyle w:val="Heading3"/>
        <w:tabs>
          <w:tab w:val="clear" w:pos="1674"/>
        </w:tabs>
        <w:spacing w:before="0"/>
        <w:ind w:left="2340"/>
      </w:pPr>
      <w:r w:rsidRPr="005F1901">
        <w:rPr>
          <w:lang w:bidi="ru-RU"/>
        </w:rPr>
        <w:t>Отвечают за информирование пациентов о существовании политики финансовой помощи Texas Health.</w:t>
      </w:r>
    </w:p>
    <w:p w14:paraId="3D3AE546" w14:textId="77777777" w:rsidR="00DB49D8" w:rsidRDefault="001C2B1C" w:rsidP="004008C2">
      <w:pPr>
        <w:pStyle w:val="Heading3"/>
        <w:tabs>
          <w:tab w:val="clear" w:pos="1674"/>
        </w:tabs>
        <w:spacing w:before="120"/>
        <w:ind w:left="2340"/>
      </w:pPr>
      <w:r w:rsidRPr="005F1901">
        <w:rPr>
          <w:lang w:bidi="ru-RU"/>
        </w:rPr>
        <w:t>Отвечают за осуществление проверки для определения соответствия требованиям для оказания финансовой помощи пациентам до начала лечения в больнице и уведомление пациентов о решении, принятом относительно права на получение такой помощи.</w:t>
      </w:r>
    </w:p>
    <w:p w14:paraId="3D3AE547" w14:textId="77777777" w:rsidR="001C2B1C" w:rsidRPr="005F1901" w:rsidRDefault="00C913FE" w:rsidP="004008C2">
      <w:pPr>
        <w:pStyle w:val="Heading2"/>
        <w:tabs>
          <w:tab w:val="clear" w:pos="2160"/>
        </w:tabs>
        <w:ind w:left="1440"/>
      </w:pPr>
      <w:r w:rsidRPr="004B089A">
        <w:rPr>
          <w:rStyle w:val="SubtleEmphasis"/>
          <w:lang w:bidi="ru-RU"/>
        </w:rPr>
        <w:t>Специалисты больницы по финансовым вопросам</w:t>
      </w:r>
      <w:r w:rsidR="001C2B1C" w:rsidRPr="005F1901">
        <w:rPr>
          <w:lang w:bidi="ru-RU"/>
        </w:rPr>
        <w:t>.</w:t>
      </w:r>
    </w:p>
    <w:p w14:paraId="3D3AE548" w14:textId="77777777" w:rsidR="00DB49D8" w:rsidRDefault="002F5C81" w:rsidP="004008C2">
      <w:pPr>
        <w:pStyle w:val="Heading3"/>
        <w:tabs>
          <w:tab w:val="clear" w:pos="1674"/>
        </w:tabs>
        <w:spacing w:before="0"/>
        <w:ind w:left="2340"/>
      </w:pPr>
      <w:r w:rsidRPr="005F1901">
        <w:rPr>
          <w:lang w:bidi="ru-RU"/>
        </w:rPr>
        <w:t>Если просьба об оказании финансовой помощи направляется до запланированной даты оказания услуг, решение о соответствии требованиям должно быть утверждено финансовым директором или его уполномоченным представителем.</w:t>
      </w:r>
    </w:p>
    <w:p w14:paraId="3D3AE549" w14:textId="77777777" w:rsidR="004B089A" w:rsidRDefault="00731820" w:rsidP="004008C2">
      <w:pPr>
        <w:pStyle w:val="Heading3"/>
        <w:tabs>
          <w:tab w:val="clear" w:pos="1674"/>
        </w:tabs>
        <w:spacing w:before="120"/>
        <w:ind w:left="2340"/>
      </w:pPr>
      <w:r w:rsidRPr="005F1901">
        <w:rPr>
          <w:lang w:bidi="ru-RU"/>
        </w:rPr>
        <w:t>Отвечают за механизмы внутреннего контроля и процедуры для надлежащего отображения финансовых корректировок в бухгалтерском учете больницы на ежемесячной основе.</w:t>
      </w:r>
    </w:p>
    <w:p w14:paraId="3D3AE54A" w14:textId="77777777" w:rsidR="00CB34DB" w:rsidRPr="005F1901" w:rsidRDefault="001C2B1C" w:rsidP="001C30FA">
      <w:pPr>
        <w:pStyle w:val="Heading1"/>
      </w:pPr>
      <w:r w:rsidRPr="005F1901">
        <w:rPr>
          <w:lang w:bidi="ru-RU"/>
        </w:rPr>
        <w:t>Внешняя ссылка</w:t>
      </w:r>
    </w:p>
    <w:p w14:paraId="3D3AE54B" w14:textId="77777777" w:rsidR="00DB49D8" w:rsidRDefault="001C2B1C" w:rsidP="004008C2">
      <w:pPr>
        <w:pStyle w:val="Heading2"/>
        <w:tabs>
          <w:tab w:val="clear" w:pos="2160"/>
        </w:tabs>
        <w:spacing w:before="0"/>
        <w:ind w:left="1440"/>
      </w:pPr>
      <w:r w:rsidRPr="005F1901">
        <w:rPr>
          <w:lang w:bidi="ru-RU"/>
        </w:rPr>
        <w:t>Раздел 311.043-045 Кодекса по вопросам охраны здоровья и безопасности</w:t>
      </w:r>
    </w:p>
    <w:p w14:paraId="3D3AE54C" w14:textId="77777777" w:rsidR="00DB49D8" w:rsidRDefault="001C2B1C" w:rsidP="004008C2">
      <w:pPr>
        <w:pStyle w:val="Heading2"/>
        <w:tabs>
          <w:tab w:val="clear" w:pos="2160"/>
        </w:tabs>
        <w:spacing w:before="120"/>
        <w:ind w:left="1440"/>
      </w:pPr>
      <w:r w:rsidRPr="005F1901">
        <w:rPr>
          <w:lang w:bidi="ru-RU"/>
        </w:rPr>
        <w:t>EMTALA — Закон об оказании неотложной медицинской помощи и помощи при активных родах</w:t>
      </w:r>
    </w:p>
    <w:p w14:paraId="3D3AE54D" w14:textId="77777777" w:rsidR="00DB49D8" w:rsidRDefault="001C2B1C" w:rsidP="004008C2">
      <w:pPr>
        <w:pStyle w:val="Heading2"/>
        <w:tabs>
          <w:tab w:val="clear" w:pos="2160"/>
        </w:tabs>
        <w:spacing w:before="120"/>
        <w:ind w:left="1440"/>
      </w:pPr>
      <w:r w:rsidRPr="005F1901">
        <w:rPr>
          <w:lang w:bidi="ru-RU"/>
        </w:rPr>
        <w:t>Раздел 61.023 Закона о медицинском обслуживании и лечении неимущих (уровни дохода)</w:t>
      </w:r>
    </w:p>
    <w:p w14:paraId="3D3AE54E" w14:textId="77777777" w:rsidR="00DB49D8" w:rsidRDefault="001C2B1C" w:rsidP="004008C2">
      <w:pPr>
        <w:pStyle w:val="Heading2"/>
        <w:tabs>
          <w:tab w:val="clear" w:pos="2160"/>
        </w:tabs>
        <w:spacing w:before="120"/>
        <w:ind w:left="1440"/>
      </w:pPr>
      <w:r w:rsidRPr="005F1901">
        <w:rPr>
          <w:lang w:bidi="ru-RU"/>
        </w:rPr>
        <w:t>Федеральный реестр уровня бедности</w:t>
      </w:r>
    </w:p>
    <w:p w14:paraId="3D3AE54F" w14:textId="77777777" w:rsidR="00DB49D8" w:rsidRDefault="001C2B1C" w:rsidP="004008C2">
      <w:pPr>
        <w:pStyle w:val="Heading2"/>
        <w:tabs>
          <w:tab w:val="clear" w:pos="2160"/>
        </w:tabs>
        <w:spacing w:before="120"/>
        <w:ind w:left="1440"/>
      </w:pPr>
      <w:r w:rsidRPr="005F1901">
        <w:rPr>
          <w:lang w:bidi="ru-RU"/>
        </w:rPr>
        <w:t xml:space="preserve">Руководящие принципы деятельности Управления по вопросам здравоохранения штата Техас </w:t>
      </w:r>
    </w:p>
    <w:p w14:paraId="3D3AE550" w14:textId="77777777" w:rsidR="00DB49D8" w:rsidRDefault="00BA0991" w:rsidP="004008C2">
      <w:pPr>
        <w:pStyle w:val="Heading2"/>
        <w:tabs>
          <w:tab w:val="clear" w:pos="2160"/>
        </w:tabs>
        <w:spacing w:before="120"/>
        <w:ind w:left="1440"/>
        <w:rPr>
          <w:lang w:val="fr-FR"/>
        </w:rPr>
      </w:pPr>
      <w:r w:rsidRPr="00DB49D8">
        <w:rPr>
          <w:lang w:bidi="ru-RU"/>
        </w:rPr>
        <w:t>Раздел 501(r) Налогового кодекса</w:t>
      </w:r>
    </w:p>
    <w:p w14:paraId="3D3AE551" w14:textId="77777777" w:rsidR="001C2B1C" w:rsidRPr="005F1901" w:rsidRDefault="001C2B1C" w:rsidP="001C30FA">
      <w:pPr>
        <w:pStyle w:val="Heading1"/>
      </w:pPr>
      <w:r w:rsidRPr="005F1901">
        <w:rPr>
          <w:lang w:bidi="ru-RU"/>
        </w:rPr>
        <w:t>Соответствующая документация и/или приложения:</w:t>
      </w:r>
    </w:p>
    <w:p w14:paraId="3D3AE552" w14:textId="77777777" w:rsidR="00DB49D8" w:rsidRDefault="00C913FE" w:rsidP="004008C2">
      <w:pPr>
        <w:pStyle w:val="Heading2"/>
        <w:tabs>
          <w:tab w:val="clear" w:pos="2160"/>
        </w:tabs>
        <w:spacing w:before="0"/>
        <w:ind w:left="1440"/>
      </w:pPr>
      <w:r w:rsidRPr="005F1901">
        <w:rPr>
          <w:lang w:bidi="ru-RU"/>
        </w:rPr>
        <w:t>Матрица согласований, полномочий и ответственности THR</w:t>
      </w:r>
    </w:p>
    <w:p w14:paraId="3D3AE553" w14:textId="77777777" w:rsidR="00DB49D8" w:rsidRDefault="001C2B1C" w:rsidP="004008C2">
      <w:pPr>
        <w:pStyle w:val="Heading2"/>
        <w:tabs>
          <w:tab w:val="clear" w:pos="2160"/>
        </w:tabs>
        <w:spacing w:before="120"/>
        <w:ind w:left="1440"/>
      </w:pPr>
      <w:r w:rsidRPr="005F1901">
        <w:rPr>
          <w:lang w:bidi="ru-RU"/>
        </w:rPr>
        <w:t>Последняя редакция политики по получению предоплаты</w:t>
      </w:r>
    </w:p>
    <w:p w14:paraId="3D3AE554" w14:textId="77777777" w:rsidR="00DB49D8" w:rsidRDefault="001C2B1C" w:rsidP="004008C2">
      <w:pPr>
        <w:pStyle w:val="Heading2"/>
        <w:tabs>
          <w:tab w:val="clear" w:pos="2160"/>
        </w:tabs>
        <w:spacing w:before="120"/>
        <w:ind w:left="1440"/>
      </w:pPr>
      <w:r w:rsidRPr="005F1901">
        <w:rPr>
          <w:lang w:bidi="ru-RU"/>
        </w:rPr>
        <w:t>Доплаты и совместное страхование, предусматривающие цены со скидкой для незастрахованных лиц</w:t>
      </w:r>
    </w:p>
    <w:p w14:paraId="3D3AE555" w14:textId="77777777" w:rsidR="00DB49D8" w:rsidRDefault="0063094F" w:rsidP="004008C2">
      <w:pPr>
        <w:pStyle w:val="Heading2"/>
        <w:tabs>
          <w:tab w:val="clear" w:pos="2160"/>
        </w:tabs>
        <w:spacing w:before="120"/>
        <w:ind w:left="1440"/>
      </w:pPr>
      <w:r w:rsidRPr="005F1901">
        <w:rPr>
          <w:lang w:bidi="ru-RU"/>
        </w:rPr>
        <w:t>Приложение A — критерии соответствия установленным требованиям</w:t>
      </w:r>
    </w:p>
    <w:p w14:paraId="3D3AE556" w14:textId="77777777" w:rsidR="00DB49D8" w:rsidRDefault="00BA0991" w:rsidP="004008C2">
      <w:pPr>
        <w:pStyle w:val="Heading2"/>
        <w:tabs>
          <w:tab w:val="clear" w:pos="2160"/>
        </w:tabs>
        <w:spacing w:before="120"/>
        <w:ind w:left="1440"/>
      </w:pPr>
      <w:r w:rsidRPr="005F1901">
        <w:rPr>
          <w:lang w:bidi="ru-RU"/>
        </w:rPr>
        <w:t>Приложение B — таблица пациентов, нуждающихся в финансовой помощи, пациентов, нуждающихся в медицинской помощи, и пациентов, не имеющих возможности оплатить дорогостоящее обследование и лечение</w:t>
      </w:r>
    </w:p>
    <w:p w14:paraId="3D3AE557" w14:textId="77777777" w:rsidR="00DB49D8" w:rsidRDefault="00BB1BC8" w:rsidP="004008C2">
      <w:pPr>
        <w:pStyle w:val="Heading2"/>
        <w:tabs>
          <w:tab w:val="clear" w:pos="2160"/>
        </w:tabs>
        <w:spacing w:before="120"/>
        <w:ind w:left="1440"/>
      </w:pPr>
      <w:r w:rsidRPr="005F1901">
        <w:rPr>
          <w:lang w:bidi="ru-RU"/>
        </w:rPr>
        <w:t>Приложение C — перечень юридических лиц, подпадающих под действие данной политики, и учреждений/услуг, не подпадающих под действие данной политики</w:t>
      </w:r>
    </w:p>
    <w:p w14:paraId="3D3AE558" w14:textId="77777777" w:rsidR="004B089A" w:rsidRDefault="00BA0991" w:rsidP="004008C2">
      <w:pPr>
        <w:pStyle w:val="Heading2"/>
        <w:tabs>
          <w:tab w:val="clear" w:pos="2160"/>
        </w:tabs>
        <w:spacing w:before="120"/>
        <w:ind w:left="1440"/>
      </w:pPr>
      <w:r w:rsidRPr="005F1901">
        <w:rPr>
          <w:lang w:bidi="ru-RU"/>
        </w:rPr>
        <w:t>Приложение D — расчет сумм, которые, как правило, выставляются к оплате</w:t>
      </w:r>
    </w:p>
    <w:p w14:paraId="3D3AE559" w14:textId="77777777" w:rsidR="00DB49D8" w:rsidRDefault="001C2B1C" w:rsidP="001C30FA">
      <w:pPr>
        <w:pStyle w:val="Heading1"/>
      </w:pPr>
      <w:r w:rsidRPr="005F1901">
        <w:rPr>
          <w:lang w:bidi="ru-RU"/>
        </w:rPr>
        <w:t>Необходимая информация:</w:t>
      </w:r>
    </w:p>
    <w:p w14:paraId="3D3AE55A" w14:textId="77777777" w:rsidR="001C2B1C" w:rsidRPr="005F1901" w:rsidRDefault="001C2B1C" w:rsidP="004008C2">
      <w:pPr>
        <w:pStyle w:val="Heading2"/>
        <w:numPr>
          <w:ilvl w:val="0"/>
          <w:numId w:val="0"/>
        </w:numPr>
        <w:ind w:left="720"/>
      </w:pPr>
      <w:r w:rsidRPr="005F1901">
        <w:rPr>
          <w:lang w:bidi="ru-RU"/>
        </w:rPr>
        <w:t>Не применимо</w:t>
      </w:r>
    </w:p>
    <w:p w14:paraId="3D3AE55B" w14:textId="77777777" w:rsidR="001C30FA" w:rsidRDefault="001C30FA" w:rsidP="005F1901">
      <w:pPr>
        <w:sectPr w:rsidR="001C30FA" w:rsidSect="00F00209">
          <w:headerReference w:type="default" r:id="rId11"/>
          <w:footerReference w:type="default" r:id="rId12"/>
          <w:headerReference w:type="first" r:id="rId13"/>
          <w:footerReference w:type="first" r:id="rId14"/>
          <w:pgSz w:w="12240" w:h="15840"/>
          <w:pgMar w:top="720" w:right="720" w:bottom="1440" w:left="720" w:header="720" w:footer="144" w:gutter="0"/>
          <w:cols w:space="720"/>
          <w:titlePg/>
          <w:docGrid w:linePitch="360"/>
        </w:sectPr>
      </w:pPr>
    </w:p>
    <w:p w14:paraId="3D3AE55C" w14:textId="77777777" w:rsidR="001C2B1C" w:rsidRPr="00F11F63" w:rsidRDefault="0063094F" w:rsidP="00F11F63">
      <w:pPr>
        <w:pStyle w:val="Title"/>
      </w:pPr>
      <w:r w:rsidRPr="00F11F63">
        <w:rPr>
          <w:lang w:bidi="ru-RU"/>
        </w:rPr>
        <w:t>ПРИЛОЖЕНИЕ A</w:t>
      </w:r>
    </w:p>
    <w:p w14:paraId="3D3AE55D" w14:textId="77777777" w:rsidR="00DB49D8" w:rsidRPr="00F11F63" w:rsidRDefault="001C2B1C" w:rsidP="00F11F63">
      <w:pPr>
        <w:pStyle w:val="Title"/>
      </w:pPr>
      <w:r w:rsidRPr="00F11F63">
        <w:rPr>
          <w:lang w:bidi="ru-RU"/>
        </w:rPr>
        <w:t>КРИТЕРИИ СООТВЕТСТВИЯ УСТАНОВЛЕННЫМ ТРЕБОВАНИЯМ</w:t>
      </w:r>
    </w:p>
    <w:p w14:paraId="3D3AE55E" w14:textId="77777777" w:rsidR="00DB49D8" w:rsidRDefault="001C2B1C" w:rsidP="004008C2">
      <w:pPr>
        <w:spacing w:before="0"/>
      </w:pPr>
      <w:r w:rsidRPr="005F1901">
        <w:rPr>
          <w:lang w:bidi="ru-RU"/>
        </w:rPr>
        <w:t>Критерии, приведенные в настоящем приложении, применяются для определения права пациента на получение лечения бесплатно или со скидкой согласно политике финансовой помощи Texas Health. Только корректировки, касающиеся тех пациентов, которые соответствуют критериям, изложенным в этом приложении А, указываются в счете прибылей и убытков больницы как благотворительная помощь.</w:t>
      </w:r>
    </w:p>
    <w:p w14:paraId="3D3AE55F" w14:textId="77777777" w:rsidR="004B089A" w:rsidRDefault="001C2B1C" w:rsidP="004008C2">
      <w:pPr>
        <w:pStyle w:val="ListParagraph3"/>
        <w:spacing w:before="160"/>
      </w:pPr>
      <w:r w:rsidRPr="00F11F63">
        <w:rPr>
          <w:lang w:bidi="ru-RU"/>
        </w:rPr>
        <w:t>Пациент, нуждающийся в финансовой помощи</w:t>
      </w:r>
    </w:p>
    <w:p w14:paraId="3D3AE560" w14:textId="77777777" w:rsidR="004B089A" w:rsidRDefault="001C2B1C" w:rsidP="00F11F63">
      <w:pPr>
        <w:pStyle w:val="BodyText"/>
      </w:pPr>
      <w:r w:rsidRPr="005F1901">
        <w:rPr>
          <w:lang w:bidi="ru-RU"/>
        </w:rPr>
        <w:t>Финансовая помощь пациенту/гаранту с оцененным годовым доходом от 0% до 200% федерального уровня бедности должна утверждаться в том случае, если пациент имеет недостаточно средств и финансовых активов для погашения своей текущей задолженности без каких-либо неоправданных финансовых трудностей. Как правило, нуждающийся в финансовой помощи пациент имеет право на скидку от общей суммы больничного счета в размере, равном текущей задолженности пациента во время принятия решения о соответствии требованиям, за вычетом суммы (при наличии таковой), которую, как считается, он в состоянии оплатить. Решение о соответствии требованиям будет принято на основании годового дохода, размера семьи и финансовых ресурсов. Предварительные платежи пациента плюс оставшаяся текущая задолженность пациента после предоставления всех скидок ни при каких обстоятельствах не должны превышать процент AGB от валовых расходов Texas Health.</w:t>
      </w:r>
    </w:p>
    <w:p w14:paraId="3D3AE561" w14:textId="77777777" w:rsidR="00FF1D45" w:rsidRPr="005F1901" w:rsidRDefault="00FF1D45" w:rsidP="003D6086">
      <w:pPr>
        <w:pStyle w:val="ListParagraph3"/>
      </w:pPr>
      <w:r w:rsidRPr="005F1901">
        <w:rPr>
          <w:lang w:bidi="ru-RU"/>
        </w:rPr>
        <w:t>Автоматическое/презумпционное финансовое одобрение</w:t>
      </w:r>
    </w:p>
    <w:p w14:paraId="3D3AE562" w14:textId="77777777" w:rsidR="00DB49D8" w:rsidRDefault="00FF1D45" w:rsidP="00F11F63">
      <w:pPr>
        <w:pStyle w:val="BodyText"/>
      </w:pPr>
      <w:r w:rsidRPr="005F1901">
        <w:rPr>
          <w:lang w:bidi="ru-RU"/>
        </w:rPr>
        <w:t>В некоторых ситуациях Texas Health может принять решение о том, что пациент имеет право на финансовую помощь в рамках данной политики путем проверки и анализа финансовой и прочей информации, предоставленной независимой третьей стороной, такой как предположительный годовой доход, размер семьи и статус занятости. В таких ситуациях официальное заявление на предоставление финансовой помощи не требуется. Texas Health завершит проверку и анализ имеющихся данных в течение 30 дней с момента установления ответственности пациента. Если Texas Health не может определить право пациента на получение финансовой помощи в рамках этой процедуры проверки, и если не было подано заявление на предоставление финансовой помощи Texas Health, меры по взысканию задолженности начнутся в соответствии с обычными процедурами взыскания долгов Texas Health. Любая чрезвычайная мера по взысканию задолженности будет осуществлена не ранее чем через 130 дней с момента установления ответственности пациента.</w:t>
      </w:r>
    </w:p>
    <w:p w14:paraId="3D3AE563" w14:textId="77777777" w:rsidR="004B089A" w:rsidRDefault="001C2B1C" w:rsidP="003D6086">
      <w:pPr>
        <w:pStyle w:val="ListParagraph3"/>
      </w:pPr>
      <w:r w:rsidRPr="003D6086">
        <w:rPr>
          <w:lang w:bidi="ru-RU"/>
        </w:rPr>
        <w:t>Пациент, нуждающийся в медицинской помощи</w:t>
      </w:r>
    </w:p>
    <w:p w14:paraId="3D3AE564" w14:textId="77777777" w:rsidR="00DB49D8" w:rsidRDefault="009022C3" w:rsidP="00F11F63">
      <w:pPr>
        <w:pStyle w:val="BodyText"/>
      </w:pPr>
      <w:r w:rsidRPr="005F1901">
        <w:rPr>
          <w:lang w:bidi="ru-RU"/>
        </w:rPr>
        <w:t>Нуждающийся в медицинской помощи пациент — это пациент, ежегодный доход которого составляет 201-500% федерального уровня бедности, имеющий неоплаченные больничные счета Texas Health (после оплаты всеми третьими сторонами), которые превышают на 5% его годовой доход, и не могущий оплатить текущую задолженность. Такие нуждающиеся в медицинской помощи пациенты имеют право на скидку, указанную в приложении B. Однако предварительные платежи пациента плюс оставшаяся текущая задолженность пациента после предоставления всех скидок ни при каких обстоятельствах не должны превышать процент AGB от валовых расходов Texas Health. См. приложение B для ознакомления с полной таблицей.</w:t>
      </w:r>
    </w:p>
    <w:p w14:paraId="3D3AE565" w14:textId="77777777" w:rsidR="00F11F63" w:rsidRDefault="000532B0" w:rsidP="003D6086">
      <w:pPr>
        <w:pStyle w:val="ListParagraph3"/>
      </w:pPr>
      <w:r w:rsidRPr="005F1901">
        <w:rPr>
          <w:lang w:bidi="ru-RU"/>
        </w:rPr>
        <w:t>Пациент, не имеющий возможности оплатить дорогостоящее обследование и лечение</w:t>
      </w:r>
    </w:p>
    <w:p w14:paraId="3D3AE566" w14:textId="77777777" w:rsidR="004B089A" w:rsidRDefault="008078BB" w:rsidP="00F11F63">
      <w:pPr>
        <w:pStyle w:val="BodyText"/>
      </w:pPr>
      <w:r w:rsidRPr="005F1901">
        <w:rPr>
          <w:lang w:bidi="ru-RU"/>
        </w:rPr>
        <w:t>Пациент, текущая задолженность которого после платежей всех третьих лиц превышает на 20% заявленный общий годовой доход пациента, в связи с чем пациент не может оплатить текущую задолженность. Эта категория пациентов, не имеющих возможности оплатить дорогостоящее лечение, имеет право на скидку в размере 75% – 95%. Однако текущая сумма задолженности пациента после предоставления всех скидок ни при каких обстоятельствах не должна превышать процент AGB Texas Health от общей суммы издержек.</w:t>
      </w:r>
    </w:p>
    <w:p w14:paraId="3D3AE567" w14:textId="77777777" w:rsidR="00DB49D8" w:rsidRDefault="000532B0" w:rsidP="003D6086">
      <w:pPr>
        <w:pStyle w:val="ListParagraph3"/>
      </w:pPr>
      <w:r w:rsidRPr="005F1901">
        <w:rPr>
          <w:lang w:bidi="ru-RU"/>
        </w:rPr>
        <w:t>Лица, предположительно не имеющие права на медицинское пособие (валовая сумма расходов по счету превышает $75,000)</w:t>
      </w:r>
    </w:p>
    <w:p w14:paraId="3D3AE568" w14:textId="77777777" w:rsidR="004B089A" w:rsidRDefault="0018766F" w:rsidP="00F11F63">
      <w:pPr>
        <w:pStyle w:val="BodyText"/>
      </w:pPr>
      <w:r w:rsidRPr="005F1901">
        <w:rPr>
          <w:lang w:bidi="ru-RU"/>
        </w:rPr>
        <w:t>Если счет за лечение пациента в больнице Texas Health превышает $75,000, пациент может претендовать на предварительную финансовую помощь без заполненного заявления на предоставление финансовой помощи при условии наличия достаточной информации для принятия решения о том, имеет ли пациент право на помощь на других основаниях. Эта информация может включать финансовые данные, полученные от третьей стороны. В этой ситуации минимальная ответственность пациента должна составлять 15% от обязательной долговой части пациента. Однако платежи пациента ни при каких обстоятельствах не должны превышать процент AGB Texas Health от валовой суммы.</w:t>
      </w:r>
    </w:p>
    <w:p w14:paraId="3D3AE569" w14:textId="77777777" w:rsidR="004B089A" w:rsidRDefault="00F920ED" w:rsidP="003D6086">
      <w:pPr>
        <w:pStyle w:val="ListParagraph3"/>
      </w:pPr>
      <w:r w:rsidRPr="005F1901">
        <w:rPr>
          <w:lang w:bidi="ru-RU"/>
        </w:rPr>
        <w:t>Финансовая помощь</w:t>
      </w:r>
    </w:p>
    <w:p w14:paraId="3D3AE56A" w14:textId="77777777" w:rsidR="00DB49D8" w:rsidRDefault="001C2B1C" w:rsidP="00F11F63">
      <w:pPr>
        <w:pStyle w:val="BodyText"/>
      </w:pPr>
      <w:r w:rsidRPr="005F1901">
        <w:rPr>
          <w:lang w:bidi="ru-RU"/>
        </w:rPr>
        <w:t>Всех пациентов, обращающихся за помощью в соответствии с политикой финансовой помощи Texas Health, призывают заполнить заявление на предоставление финансовой помощи. Пациент, валовая сумма больничного счета которого не превышает $75,000, может быть классифицирован как нуждающийся в медицинской помощи, только если Texas Health получит заполненное заявление на предоставление финансовой помощи вместе с материалами, требуемыми Texas Health для проверки дохода, активов и расходов на медицинское обслуживание, указанных в заявлении.</w:t>
      </w:r>
    </w:p>
    <w:p w14:paraId="3D3AE56B" w14:textId="77777777" w:rsidR="00DB49D8" w:rsidRDefault="001C2B1C" w:rsidP="003D6086">
      <w:pPr>
        <w:pStyle w:val="ListParagraph3"/>
      </w:pPr>
      <w:r w:rsidRPr="005F1901">
        <w:rPr>
          <w:lang w:bidi="ru-RU"/>
        </w:rPr>
        <w:t>Определение финансового состояния</w:t>
      </w:r>
    </w:p>
    <w:p w14:paraId="3D3AE56C" w14:textId="77777777" w:rsidR="004B089A" w:rsidRDefault="001C2B1C" w:rsidP="00F11F63">
      <w:pPr>
        <w:pStyle w:val="BodyText"/>
      </w:pPr>
      <w:r w:rsidRPr="005F1901">
        <w:rPr>
          <w:lang w:bidi="ru-RU"/>
        </w:rPr>
        <w:t>Решение о том, что пациент имеет недостаточно средств как лицо, подпадающее под категорию нуждающегося либо в финансовой, либо в медицинской помощи, принимается в момент проверки соответствия пациента установленным требованиям и основывается на информации о текущей занятости, финансовом положении и семейном статусе пациента. Для целей настоящей политики под активами понимаются наличные средства, акции, облигации и прочие финансовые активы, которые можно свободно обратить в наличные средства. Как правило, неликвидные активы и теоретическая возможность пациента/гаранта получать в будущем доход не принимаются во внимание при принятии решения о наличии достаточных средств для оплаты текущих счетов за лечение.</w:t>
      </w:r>
    </w:p>
    <w:p w14:paraId="3D3AE56D" w14:textId="77777777" w:rsidR="004B089A" w:rsidRDefault="0018766F" w:rsidP="003D6086">
      <w:pPr>
        <w:pStyle w:val="ListParagraph3"/>
      </w:pPr>
      <w:r w:rsidRPr="005F1901">
        <w:rPr>
          <w:lang w:bidi="ru-RU"/>
        </w:rPr>
        <w:t>Повторная подача заявления</w:t>
      </w:r>
    </w:p>
    <w:p w14:paraId="3D3AE56E" w14:textId="77777777" w:rsidR="00DB49D8" w:rsidRDefault="00234B61" w:rsidP="00F11F63">
      <w:pPr>
        <w:pStyle w:val="BodyText"/>
      </w:pPr>
      <w:r w:rsidRPr="005F1901">
        <w:rPr>
          <w:lang w:bidi="ru-RU"/>
        </w:rPr>
        <w:t>Если дополнительные услуги получены в течение 90 дней с момента утверждения заявления на предоставление финансовой помощи, и пациент обращается за дополнительной финансовой помощью, ему не нужно заполнять еще одно заявление на предоставление финансовой помощи, если только факты и обстоятельства не указывают на то, что в финансовом состоянии и/или платежеспособности могли произойти существенные изменения.</w:t>
      </w:r>
    </w:p>
    <w:p w14:paraId="3D3AE56F" w14:textId="77777777" w:rsidR="00DB49D8" w:rsidRDefault="000F5EFA" w:rsidP="003D6086">
      <w:pPr>
        <w:pStyle w:val="ListParagraph3"/>
      </w:pPr>
      <w:r w:rsidRPr="005F1901">
        <w:rPr>
          <w:lang w:bidi="ru-RU"/>
        </w:rPr>
        <w:t>Финансовая помощь в случаях, когда не требуется неотложная медицинская помощь</w:t>
      </w:r>
    </w:p>
    <w:p w14:paraId="3D3AE570" w14:textId="77777777" w:rsidR="00DB49D8" w:rsidRDefault="001C6A0B" w:rsidP="00F11F63">
      <w:pPr>
        <w:pStyle w:val="BodyText"/>
      </w:pPr>
      <w:r w:rsidRPr="005F1901">
        <w:rPr>
          <w:lang w:bidi="ru-RU"/>
        </w:rPr>
        <w:t>Финансовая помощь в соответствии с политикой финансовой помощи Texas Health может предоставляться пациентам с состояниями как требующими, так и не требующими оказания неотложной медицинской помощи. Приоритет согласно политике финансовой помощи Texas Health отдается пациентам, требующим неотложной медицинской помощи. Рассматривая заявления об оказании финансовой помощи пациентам, не требующим неотложной медицинской помощи, Texas Health учитывает наличие других ресурсов в обществе, которые соответствуют потребностям заявителя, возможность больниц Texas Health предоставлять надлежащую непрерывную медицинскую помощь и влияние конкретного обращения на возможность Texas Health предоставлять услуги разным группам лиц.</w:t>
      </w:r>
    </w:p>
    <w:p w14:paraId="3D3AE571" w14:textId="77777777" w:rsidR="00DB49D8" w:rsidRDefault="001C2B1C" w:rsidP="003D6086">
      <w:pPr>
        <w:pStyle w:val="ListParagraph3"/>
      </w:pPr>
      <w:r w:rsidRPr="005F1901">
        <w:rPr>
          <w:lang w:bidi="ru-RU"/>
        </w:rPr>
        <w:t>Сотрудничество со стороны пациента</w:t>
      </w:r>
    </w:p>
    <w:p w14:paraId="3D3AE572" w14:textId="77777777" w:rsidR="00DB49D8" w:rsidRDefault="001C2B1C" w:rsidP="00F11F63">
      <w:pPr>
        <w:pStyle w:val="BodyText"/>
      </w:pPr>
      <w:r w:rsidRPr="005F1901">
        <w:rPr>
          <w:lang w:bidi="ru-RU"/>
        </w:rPr>
        <w:t>Пациент обязан принимать активное участие в процедуре проверки больницы для оказания финансовой помощи, разрешать (если требуется) Texas Health доступ к информации, имеющейся у третьей стороны, и вовремя предоставлять запрошенную информацию, включая, в том числе, предоставление больнице информации о фактической или возможной медицинской страховке (включая имеющуюся страховку согласно закону COBRA), финансовом положении (т.е. доход, финансовые активы) и любой другой информации, которая необходима Texas Health для принятия решения о соответствии пациента финансовым и страховым требованиям. Отказ пациента от сотрудничества может повлечь за собой отказ в предоставлении финансовой помощи.</w:t>
      </w:r>
    </w:p>
    <w:p w14:paraId="3D3AE573" w14:textId="77777777" w:rsidR="004B089A" w:rsidRDefault="00AF08D4" w:rsidP="00F11F63">
      <w:r w:rsidRPr="005F1901">
        <w:rPr>
          <w:lang w:bidi="ru-RU"/>
        </w:rPr>
        <w:t>Финансовая помощь является единственным вариантом урегулирования вопроса о текущей задолженности пациента. Если средства зачисляются на счет пациента до утверждения финансовой помощи, они будут возмещены пациенту, только если выплаты превышают процент AGB Texas Health.</w:t>
      </w:r>
    </w:p>
    <w:p w14:paraId="3D3AE574" w14:textId="77777777" w:rsidR="00F11F63" w:rsidRDefault="00F11F63" w:rsidP="005F1901">
      <w:pPr>
        <w:sectPr w:rsidR="00F11F63" w:rsidSect="00AC46A6">
          <w:pgSz w:w="12240" w:h="15840"/>
          <w:pgMar w:top="720" w:right="720" w:bottom="1440" w:left="720" w:header="720" w:footer="720" w:gutter="0"/>
          <w:cols w:space="720"/>
          <w:docGrid w:linePitch="360"/>
        </w:sectPr>
      </w:pPr>
    </w:p>
    <w:p w14:paraId="3D3AE575" w14:textId="77777777" w:rsidR="00DB49D8" w:rsidRPr="00C81933" w:rsidRDefault="00C410D8" w:rsidP="00F11F63">
      <w:pPr>
        <w:pStyle w:val="Title"/>
        <w:rPr>
          <w:b w:val="0"/>
          <w:sz w:val="19"/>
          <w:szCs w:val="19"/>
        </w:rPr>
      </w:pPr>
      <w:r w:rsidRPr="00C81933">
        <w:rPr>
          <w:b w:val="0"/>
          <w:sz w:val="19"/>
          <w:szCs w:val="19"/>
          <w:lang w:bidi="ru-RU"/>
        </w:rPr>
        <w:t>Приложение B — пациенты, нуждающиеся в финансовой помощи, пациенты, нуждающиеся в медицинской помощи, и пациенты, не имеющие возможности оплатить дорогостоящее лечение</w:t>
      </w:r>
    </w:p>
    <w:p w14:paraId="3D3AE576" w14:textId="77777777" w:rsidR="00C410D8" w:rsidRPr="00C81933" w:rsidRDefault="00C410D8" w:rsidP="009E457C">
      <w:pPr>
        <w:spacing w:before="80" w:after="80"/>
        <w:rPr>
          <w:sz w:val="19"/>
          <w:szCs w:val="19"/>
        </w:rPr>
      </w:pPr>
      <w:r w:rsidRPr="00C81933">
        <w:rPr>
          <w:sz w:val="19"/>
          <w:szCs w:val="19"/>
          <w:lang w:bidi="ru-RU"/>
        </w:rPr>
        <w:t>На основе федерального уровня бедности, опубликованного 22/1/15</w:t>
      </w:r>
    </w:p>
    <w:tbl>
      <w:tblPr>
        <w:tblW w:w="11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69"/>
        <w:gridCol w:w="1169"/>
        <w:gridCol w:w="250"/>
        <w:gridCol w:w="1544"/>
        <w:gridCol w:w="1514"/>
        <w:gridCol w:w="1514"/>
        <w:gridCol w:w="1514"/>
        <w:gridCol w:w="1514"/>
        <w:gridCol w:w="1514"/>
      </w:tblGrid>
      <w:tr w:rsidR="00C410D8" w:rsidRPr="009E457C" w14:paraId="3D3AE57B" w14:textId="77777777" w:rsidTr="009E457C">
        <w:trPr>
          <w:trHeight w:val="589"/>
          <w:jc w:val="center"/>
        </w:trPr>
        <w:tc>
          <w:tcPr>
            <w:tcW w:w="2340" w:type="dxa"/>
            <w:gridSpan w:val="2"/>
            <w:shd w:val="clear" w:color="auto" w:fill="auto"/>
          </w:tcPr>
          <w:p w14:paraId="3D3AE577" w14:textId="77777777" w:rsidR="00C410D8" w:rsidRPr="009E457C" w:rsidRDefault="00C410D8" w:rsidP="003D6086">
            <w:pPr>
              <w:pStyle w:val="NoSpacing"/>
              <w:rPr>
                <w:sz w:val="18"/>
                <w:szCs w:val="20"/>
              </w:rPr>
            </w:pPr>
            <w:r w:rsidRPr="009E457C">
              <w:rPr>
                <w:sz w:val="18"/>
                <w:szCs w:val="20"/>
                <w:lang w:bidi="ru-RU"/>
              </w:rPr>
              <w:t>Классификация пациентов, нуждающихся в финансовой помощи</w:t>
            </w:r>
          </w:p>
        </w:tc>
        <w:tc>
          <w:tcPr>
            <w:tcW w:w="236" w:type="dxa"/>
            <w:tcBorders>
              <w:top w:val="nil"/>
              <w:bottom w:val="nil"/>
            </w:tcBorders>
            <w:shd w:val="clear" w:color="auto" w:fill="auto"/>
          </w:tcPr>
          <w:p w14:paraId="3D3AE578" w14:textId="77777777" w:rsidR="00C410D8" w:rsidRPr="009E457C" w:rsidRDefault="00C410D8" w:rsidP="003D6086">
            <w:pPr>
              <w:pStyle w:val="NoSpacing"/>
              <w:rPr>
                <w:sz w:val="18"/>
                <w:szCs w:val="20"/>
              </w:rPr>
            </w:pPr>
          </w:p>
        </w:tc>
        <w:tc>
          <w:tcPr>
            <w:tcW w:w="9126" w:type="dxa"/>
            <w:gridSpan w:val="6"/>
            <w:shd w:val="clear" w:color="auto" w:fill="auto"/>
            <w:noWrap/>
          </w:tcPr>
          <w:p w14:paraId="3D3AE579" w14:textId="77777777" w:rsidR="004B089A" w:rsidRPr="009E457C" w:rsidRDefault="00C410D8" w:rsidP="003D6086">
            <w:pPr>
              <w:pStyle w:val="NoSpacing"/>
              <w:rPr>
                <w:sz w:val="18"/>
                <w:szCs w:val="20"/>
              </w:rPr>
            </w:pPr>
            <w:r w:rsidRPr="009E457C">
              <w:rPr>
                <w:sz w:val="18"/>
                <w:szCs w:val="20"/>
                <w:lang w:bidi="ru-RU"/>
              </w:rPr>
              <w:t>Классификация пациентов, нуждающихся в медицинской помощи</w:t>
            </w:r>
          </w:p>
          <w:p w14:paraId="3D3AE57A" w14:textId="77777777" w:rsidR="00C410D8" w:rsidRPr="009E457C" w:rsidRDefault="00C410D8" w:rsidP="003D6086">
            <w:pPr>
              <w:pStyle w:val="NoSpacing"/>
              <w:rPr>
                <w:sz w:val="18"/>
                <w:szCs w:val="20"/>
              </w:rPr>
            </w:pPr>
            <w:r w:rsidRPr="009E457C">
              <w:rPr>
                <w:sz w:val="18"/>
                <w:szCs w:val="20"/>
                <w:lang w:bidi="ru-RU"/>
              </w:rPr>
              <w:t>Задолженность не должна превышать указанный % от годового дохода пациента, соответствующий установленным требованиям</w:t>
            </w:r>
          </w:p>
        </w:tc>
      </w:tr>
      <w:tr w:rsidR="00C410D8" w:rsidRPr="009E457C" w14:paraId="3D3AE585" w14:textId="77777777" w:rsidTr="009E457C">
        <w:trPr>
          <w:trHeight w:val="307"/>
          <w:jc w:val="center"/>
        </w:trPr>
        <w:tc>
          <w:tcPr>
            <w:tcW w:w="1170" w:type="dxa"/>
            <w:vMerge w:val="restart"/>
            <w:shd w:val="clear" w:color="auto" w:fill="auto"/>
          </w:tcPr>
          <w:p w14:paraId="3D3AE57C" w14:textId="77777777" w:rsidR="00C410D8" w:rsidRPr="009E457C" w:rsidRDefault="00C410D8" w:rsidP="009E457C">
            <w:pPr>
              <w:pStyle w:val="NoSpacing"/>
              <w:jc w:val="center"/>
              <w:rPr>
                <w:sz w:val="18"/>
                <w:szCs w:val="20"/>
              </w:rPr>
            </w:pPr>
            <w:r w:rsidRPr="009E457C">
              <w:rPr>
                <w:sz w:val="18"/>
                <w:szCs w:val="20"/>
                <w:lang w:bidi="ru-RU"/>
              </w:rPr>
              <w:t>Номер в семье</w:t>
            </w:r>
          </w:p>
        </w:tc>
        <w:tc>
          <w:tcPr>
            <w:tcW w:w="1170" w:type="dxa"/>
            <w:vMerge w:val="restart"/>
            <w:shd w:val="clear" w:color="auto" w:fill="auto"/>
          </w:tcPr>
          <w:p w14:paraId="3D3AE57D" w14:textId="77777777" w:rsidR="00C410D8" w:rsidRPr="009E457C" w:rsidRDefault="00C410D8" w:rsidP="009E457C">
            <w:pPr>
              <w:pStyle w:val="NoSpacing"/>
              <w:jc w:val="center"/>
              <w:rPr>
                <w:sz w:val="18"/>
                <w:szCs w:val="20"/>
              </w:rPr>
            </w:pPr>
            <w:r w:rsidRPr="009E457C">
              <w:rPr>
                <w:sz w:val="18"/>
                <w:szCs w:val="20"/>
                <w:lang w:bidi="ru-RU"/>
              </w:rPr>
              <w:t>200%</w:t>
            </w:r>
          </w:p>
        </w:tc>
        <w:tc>
          <w:tcPr>
            <w:tcW w:w="236" w:type="dxa"/>
            <w:tcBorders>
              <w:top w:val="nil"/>
              <w:bottom w:val="nil"/>
            </w:tcBorders>
            <w:shd w:val="clear" w:color="auto" w:fill="auto"/>
          </w:tcPr>
          <w:p w14:paraId="3D3AE57E" w14:textId="77777777" w:rsidR="00C410D8" w:rsidRPr="009E457C" w:rsidRDefault="00C410D8" w:rsidP="003D6086">
            <w:pPr>
              <w:pStyle w:val="NoSpacing"/>
              <w:rPr>
                <w:sz w:val="18"/>
                <w:szCs w:val="20"/>
              </w:rPr>
            </w:pPr>
          </w:p>
        </w:tc>
        <w:tc>
          <w:tcPr>
            <w:tcW w:w="1546" w:type="dxa"/>
            <w:shd w:val="clear" w:color="auto" w:fill="auto"/>
            <w:noWrap/>
            <w:vAlign w:val="center"/>
          </w:tcPr>
          <w:p w14:paraId="3D3AE57F" w14:textId="77777777" w:rsidR="00C410D8" w:rsidRPr="009E457C" w:rsidRDefault="00C410D8" w:rsidP="009E457C">
            <w:pPr>
              <w:pStyle w:val="NoSpacing"/>
              <w:jc w:val="center"/>
              <w:rPr>
                <w:sz w:val="18"/>
                <w:szCs w:val="20"/>
              </w:rPr>
            </w:pPr>
            <w:r w:rsidRPr="009E457C">
              <w:rPr>
                <w:sz w:val="18"/>
                <w:szCs w:val="20"/>
                <w:lang w:bidi="ru-RU"/>
              </w:rPr>
              <w:t>Установленный %</w:t>
            </w:r>
          </w:p>
        </w:tc>
        <w:tc>
          <w:tcPr>
            <w:tcW w:w="1516" w:type="dxa"/>
            <w:shd w:val="clear" w:color="auto" w:fill="auto"/>
            <w:noWrap/>
            <w:vAlign w:val="center"/>
          </w:tcPr>
          <w:p w14:paraId="3D3AE580" w14:textId="77777777" w:rsidR="00C410D8" w:rsidRPr="009E457C" w:rsidRDefault="000532B0" w:rsidP="009E457C">
            <w:pPr>
              <w:pStyle w:val="NoSpacing"/>
              <w:jc w:val="center"/>
              <w:rPr>
                <w:sz w:val="18"/>
                <w:szCs w:val="20"/>
              </w:rPr>
            </w:pPr>
            <w:r w:rsidRPr="009E457C">
              <w:rPr>
                <w:sz w:val="18"/>
                <w:szCs w:val="20"/>
                <w:lang w:bidi="ru-RU"/>
              </w:rPr>
              <w:t>&gt; 5%</w:t>
            </w:r>
          </w:p>
        </w:tc>
        <w:tc>
          <w:tcPr>
            <w:tcW w:w="1516" w:type="dxa"/>
            <w:shd w:val="clear" w:color="auto" w:fill="auto"/>
            <w:noWrap/>
            <w:vAlign w:val="center"/>
          </w:tcPr>
          <w:p w14:paraId="3D3AE581" w14:textId="77777777" w:rsidR="00C410D8" w:rsidRPr="009E457C" w:rsidRDefault="000532B0" w:rsidP="009E457C">
            <w:pPr>
              <w:pStyle w:val="NoSpacing"/>
              <w:jc w:val="center"/>
              <w:rPr>
                <w:sz w:val="18"/>
                <w:szCs w:val="20"/>
              </w:rPr>
            </w:pPr>
            <w:r w:rsidRPr="009E457C">
              <w:rPr>
                <w:sz w:val="18"/>
                <w:szCs w:val="20"/>
                <w:lang w:bidi="ru-RU"/>
              </w:rPr>
              <w:t>&gt; 5%</w:t>
            </w:r>
          </w:p>
        </w:tc>
        <w:tc>
          <w:tcPr>
            <w:tcW w:w="1516" w:type="dxa"/>
            <w:shd w:val="clear" w:color="auto" w:fill="auto"/>
            <w:noWrap/>
            <w:vAlign w:val="center"/>
          </w:tcPr>
          <w:p w14:paraId="3D3AE582" w14:textId="77777777" w:rsidR="00C410D8" w:rsidRPr="009E457C" w:rsidRDefault="000532B0" w:rsidP="009E457C">
            <w:pPr>
              <w:pStyle w:val="NoSpacing"/>
              <w:jc w:val="center"/>
              <w:rPr>
                <w:sz w:val="18"/>
                <w:szCs w:val="20"/>
              </w:rPr>
            </w:pPr>
            <w:r w:rsidRPr="009E457C">
              <w:rPr>
                <w:sz w:val="18"/>
                <w:szCs w:val="20"/>
                <w:lang w:bidi="ru-RU"/>
              </w:rPr>
              <w:t>&gt; 5%</w:t>
            </w:r>
          </w:p>
        </w:tc>
        <w:tc>
          <w:tcPr>
            <w:tcW w:w="1516" w:type="dxa"/>
            <w:shd w:val="clear" w:color="auto" w:fill="auto"/>
            <w:noWrap/>
            <w:vAlign w:val="center"/>
          </w:tcPr>
          <w:p w14:paraId="3D3AE583" w14:textId="77777777" w:rsidR="00C410D8" w:rsidRPr="009E457C" w:rsidRDefault="000532B0" w:rsidP="009E457C">
            <w:pPr>
              <w:pStyle w:val="NoSpacing"/>
              <w:jc w:val="center"/>
              <w:rPr>
                <w:sz w:val="18"/>
                <w:szCs w:val="20"/>
              </w:rPr>
            </w:pPr>
            <w:r w:rsidRPr="009E457C">
              <w:rPr>
                <w:sz w:val="18"/>
                <w:szCs w:val="20"/>
                <w:lang w:bidi="ru-RU"/>
              </w:rPr>
              <w:t>&gt; 10%</w:t>
            </w:r>
          </w:p>
        </w:tc>
        <w:tc>
          <w:tcPr>
            <w:tcW w:w="1516" w:type="dxa"/>
            <w:shd w:val="clear" w:color="auto" w:fill="auto"/>
            <w:noWrap/>
            <w:vAlign w:val="center"/>
          </w:tcPr>
          <w:p w14:paraId="3D3AE584" w14:textId="77777777" w:rsidR="00C410D8" w:rsidRPr="009E457C" w:rsidRDefault="000532B0" w:rsidP="009E457C">
            <w:pPr>
              <w:pStyle w:val="NoSpacing"/>
              <w:jc w:val="center"/>
              <w:rPr>
                <w:sz w:val="18"/>
                <w:szCs w:val="20"/>
              </w:rPr>
            </w:pPr>
            <w:r w:rsidRPr="009E457C">
              <w:rPr>
                <w:sz w:val="18"/>
                <w:szCs w:val="20"/>
                <w:lang w:bidi="ru-RU"/>
              </w:rPr>
              <w:t>&gt; 10%</w:t>
            </w:r>
          </w:p>
        </w:tc>
      </w:tr>
      <w:tr w:rsidR="00C410D8" w:rsidRPr="009E457C" w14:paraId="3D3AE58F" w14:textId="77777777" w:rsidTr="009E457C">
        <w:trPr>
          <w:trHeight w:val="589"/>
          <w:jc w:val="center"/>
        </w:trPr>
        <w:tc>
          <w:tcPr>
            <w:tcW w:w="1170" w:type="dxa"/>
            <w:vMerge/>
            <w:shd w:val="clear" w:color="auto" w:fill="auto"/>
          </w:tcPr>
          <w:p w14:paraId="3D3AE586" w14:textId="77777777" w:rsidR="00C410D8" w:rsidRPr="009E457C" w:rsidRDefault="00C410D8" w:rsidP="009E457C">
            <w:pPr>
              <w:pStyle w:val="NoSpacing"/>
              <w:jc w:val="center"/>
              <w:rPr>
                <w:sz w:val="18"/>
                <w:szCs w:val="20"/>
              </w:rPr>
            </w:pPr>
          </w:p>
        </w:tc>
        <w:tc>
          <w:tcPr>
            <w:tcW w:w="1170" w:type="dxa"/>
            <w:vMerge/>
            <w:shd w:val="clear" w:color="auto" w:fill="auto"/>
          </w:tcPr>
          <w:p w14:paraId="3D3AE587" w14:textId="77777777" w:rsidR="00C410D8" w:rsidRPr="009E457C" w:rsidRDefault="00C410D8" w:rsidP="009E457C">
            <w:pPr>
              <w:pStyle w:val="NoSpacing"/>
              <w:jc w:val="center"/>
              <w:rPr>
                <w:sz w:val="18"/>
                <w:szCs w:val="20"/>
              </w:rPr>
            </w:pPr>
          </w:p>
        </w:tc>
        <w:tc>
          <w:tcPr>
            <w:tcW w:w="236" w:type="dxa"/>
            <w:tcBorders>
              <w:top w:val="nil"/>
              <w:bottom w:val="nil"/>
            </w:tcBorders>
            <w:shd w:val="clear" w:color="auto" w:fill="auto"/>
          </w:tcPr>
          <w:p w14:paraId="3D3AE588" w14:textId="77777777" w:rsidR="00C410D8" w:rsidRPr="009E457C" w:rsidRDefault="00C410D8" w:rsidP="003D6086">
            <w:pPr>
              <w:pStyle w:val="NoSpacing"/>
              <w:rPr>
                <w:sz w:val="18"/>
                <w:szCs w:val="20"/>
              </w:rPr>
            </w:pPr>
          </w:p>
        </w:tc>
        <w:tc>
          <w:tcPr>
            <w:tcW w:w="1546" w:type="dxa"/>
            <w:shd w:val="clear" w:color="auto" w:fill="auto"/>
            <w:noWrap/>
            <w:vAlign w:val="center"/>
            <w:hideMark/>
          </w:tcPr>
          <w:p w14:paraId="3D3AE589" w14:textId="77777777" w:rsidR="00C410D8" w:rsidRPr="009E457C" w:rsidRDefault="00C410D8" w:rsidP="009E457C">
            <w:pPr>
              <w:pStyle w:val="NoSpacing"/>
              <w:jc w:val="center"/>
              <w:rPr>
                <w:sz w:val="18"/>
                <w:szCs w:val="20"/>
              </w:rPr>
            </w:pPr>
            <w:r w:rsidRPr="009E457C">
              <w:rPr>
                <w:sz w:val="18"/>
                <w:szCs w:val="20"/>
                <w:lang w:bidi="ru-RU"/>
              </w:rPr>
              <w:t>Номер в семье</w:t>
            </w:r>
          </w:p>
        </w:tc>
        <w:tc>
          <w:tcPr>
            <w:tcW w:w="1516" w:type="dxa"/>
            <w:shd w:val="clear" w:color="auto" w:fill="auto"/>
            <w:noWrap/>
            <w:vAlign w:val="center"/>
            <w:hideMark/>
          </w:tcPr>
          <w:p w14:paraId="3D3AE58A" w14:textId="77777777" w:rsidR="00C410D8" w:rsidRPr="009E457C" w:rsidRDefault="00C410D8" w:rsidP="009E457C">
            <w:pPr>
              <w:pStyle w:val="NoSpacing"/>
              <w:jc w:val="center"/>
              <w:rPr>
                <w:sz w:val="18"/>
                <w:szCs w:val="20"/>
              </w:rPr>
            </w:pPr>
            <w:r w:rsidRPr="009E457C">
              <w:rPr>
                <w:sz w:val="18"/>
                <w:szCs w:val="20"/>
                <w:lang w:bidi="ru-RU"/>
              </w:rPr>
              <w:t>201 – 250%</w:t>
            </w:r>
          </w:p>
        </w:tc>
        <w:tc>
          <w:tcPr>
            <w:tcW w:w="1516" w:type="dxa"/>
            <w:shd w:val="clear" w:color="auto" w:fill="auto"/>
            <w:noWrap/>
            <w:vAlign w:val="center"/>
            <w:hideMark/>
          </w:tcPr>
          <w:p w14:paraId="3D3AE58B" w14:textId="77777777" w:rsidR="00C410D8" w:rsidRPr="009E457C" w:rsidRDefault="00C410D8" w:rsidP="009E457C">
            <w:pPr>
              <w:pStyle w:val="NoSpacing"/>
              <w:jc w:val="center"/>
              <w:rPr>
                <w:sz w:val="18"/>
                <w:szCs w:val="20"/>
              </w:rPr>
            </w:pPr>
            <w:r w:rsidRPr="009E457C">
              <w:rPr>
                <w:sz w:val="18"/>
                <w:szCs w:val="20"/>
                <w:lang w:bidi="ru-RU"/>
              </w:rPr>
              <w:t>251 – 300%</w:t>
            </w:r>
          </w:p>
        </w:tc>
        <w:tc>
          <w:tcPr>
            <w:tcW w:w="1516" w:type="dxa"/>
            <w:shd w:val="clear" w:color="auto" w:fill="auto"/>
            <w:noWrap/>
            <w:vAlign w:val="center"/>
            <w:hideMark/>
          </w:tcPr>
          <w:p w14:paraId="3D3AE58C" w14:textId="77777777" w:rsidR="00C410D8" w:rsidRPr="009E457C" w:rsidRDefault="00C410D8" w:rsidP="009E457C">
            <w:pPr>
              <w:pStyle w:val="NoSpacing"/>
              <w:jc w:val="center"/>
              <w:rPr>
                <w:sz w:val="18"/>
                <w:szCs w:val="20"/>
              </w:rPr>
            </w:pPr>
            <w:r w:rsidRPr="009E457C">
              <w:rPr>
                <w:sz w:val="18"/>
                <w:szCs w:val="20"/>
                <w:lang w:bidi="ru-RU"/>
              </w:rPr>
              <w:t>301 – 350%</w:t>
            </w:r>
          </w:p>
        </w:tc>
        <w:tc>
          <w:tcPr>
            <w:tcW w:w="1516" w:type="dxa"/>
            <w:shd w:val="clear" w:color="auto" w:fill="auto"/>
            <w:noWrap/>
            <w:vAlign w:val="center"/>
            <w:hideMark/>
          </w:tcPr>
          <w:p w14:paraId="3D3AE58D" w14:textId="77777777" w:rsidR="00C410D8" w:rsidRPr="009E457C" w:rsidRDefault="00C410D8" w:rsidP="009E457C">
            <w:pPr>
              <w:pStyle w:val="NoSpacing"/>
              <w:jc w:val="center"/>
              <w:rPr>
                <w:sz w:val="18"/>
                <w:szCs w:val="20"/>
              </w:rPr>
            </w:pPr>
            <w:r w:rsidRPr="009E457C">
              <w:rPr>
                <w:sz w:val="18"/>
                <w:szCs w:val="20"/>
                <w:lang w:bidi="ru-RU"/>
              </w:rPr>
              <w:t>351 – 400%</w:t>
            </w:r>
          </w:p>
        </w:tc>
        <w:tc>
          <w:tcPr>
            <w:tcW w:w="1516" w:type="dxa"/>
            <w:shd w:val="clear" w:color="auto" w:fill="auto"/>
            <w:noWrap/>
            <w:vAlign w:val="center"/>
            <w:hideMark/>
          </w:tcPr>
          <w:p w14:paraId="3D3AE58E" w14:textId="77777777" w:rsidR="00C410D8" w:rsidRPr="009E457C" w:rsidRDefault="00C410D8" w:rsidP="009E457C">
            <w:pPr>
              <w:pStyle w:val="NoSpacing"/>
              <w:jc w:val="center"/>
              <w:rPr>
                <w:sz w:val="18"/>
                <w:szCs w:val="20"/>
              </w:rPr>
            </w:pPr>
            <w:r w:rsidRPr="009E457C">
              <w:rPr>
                <w:sz w:val="18"/>
                <w:szCs w:val="20"/>
                <w:lang w:bidi="ru-RU"/>
              </w:rPr>
              <w:t>401 – 500%</w:t>
            </w:r>
          </w:p>
        </w:tc>
      </w:tr>
      <w:tr w:rsidR="00C410D8" w:rsidRPr="009E457C" w14:paraId="3D3AE599" w14:textId="77777777" w:rsidTr="009E457C">
        <w:trPr>
          <w:trHeight w:val="285"/>
          <w:jc w:val="center"/>
        </w:trPr>
        <w:tc>
          <w:tcPr>
            <w:tcW w:w="1170" w:type="dxa"/>
            <w:shd w:val="clear" w:color="auto" w:fill="auto"/>
            <w:vAlign w:val="center"/>
          </w:tcPr>
          <w:p w14:paraId="3D3AE590" w14:textId="77777777" w:rsidR="00C410D8" w:rsidRPr="009E457C" w:rsidRDefault="00C410D8" w:rsidP="009E457C">
            <w:pPr>
              <w:pStyle w:val="NoSpacing"/>
              <w:jc w:val="center"/>
              <w:rPr>
                <w:sz w:val="18"/>
                <w:szCs w:val="20"/>
              </w:rPr>
            </w:pPr>
            <w:r w:rsidRPr="009E457C">
              <w:rPr>
                <w:sz w:val="18"/>
                <w:szCs w:val="20"/>
                <w:lang w:bidi="ru-RU"/>
              </w:rPr>
              <w:t>1</w:t>
            </w:r>
          </w:p>
        </w:tc>
        <w:tc>
          <w:tcPr>
            <w:tcW w:w="1170" w:type="dxa"/>
            <w:shd w:val="clear" w:color="auto" w:fill="auto"/>
            <w:vAlign w:val="center"/>
          </w:tcPr>
          <w:p w14:paraId="3D3AE591" w14:textId="77777777" w:rsidR="00C410D8" w:rsidRPr="009E457C" w:rsidRDefault="00C410D8" w:rsidP="009E457C">
            <w:pPr>
              <w:pStyle w:val="NoSpacing"/>
              <w:jc w:val="center"/>
              <w:rPr>
                <w:sz w:val="18"/>
                <w:szCs w:val="20"/>
              </w:rPr>
            </w:pPr>
            <w:r w:rsidRPr="009E457C">
              <w:rPr>
                <w:sz w:val="18"/>
                <w:szCs w:val="20"/>
                <w:lang w:bidi="ru-RU"/>
              </w:rPr>
              <w:t>$23 540</w:t>
            </w:r>
          </w:p>
        </w:tc>
        <w:tc>
          <w:tcPr>
            <w:tcW w:w="236" w:type="dxa"/>
            <w:tcBorders>
              <w:top w:val="nil"/>
              <w:bottom w:val="nil"/>
            </w:tcBorders>
            <w:shd w:val="clear" w:color="auto" w:fill="auto"/>
            <w:vAlign w:val="center"/>
          </w:tcPr>
          <w:p w14:paraId="3D3AE592" w14:textId="77777777" w:rsidR="00C410D8" w:rsidRPr="009E457C" w:rsidRDefault="00C410D8" w:rsidP="003D6086">
            <w:pPr>
              <w:pStyle w:val="NoSpacing"/>
              <w:rPr>
                <w:sz w:val="18"/>
                <w:szCs w:val="20"/>
              </w:rPr>
            </w:pPr>
          </w:p>
        </w:tc>
        <w:tc>
          <w:tcPr>
            <w:tcW w:w="1546" w:type="dxa"/>
            <w:shd w:val="clear" w:color="auto" w:fill="auto"/>
            <w:noWrap/>
            <w:vAlign w:val="center"/>
            <w:hideMark/>
          </w:tcPr>
          <w:p w14:paraId="3D3AE593" w14:textId="77777777" w:rsidR="00C410D8" w:rsidRPr="009E457C" w:rsidRDefault="00C410D8" w:rsidP="009E457C">
            <w:pPr>
              <w:pStyle w:val="NoSpacing"/>
              <w:jc w:val="center"/>
              <w:rPr>
                <w:sz w:val="18"/>
                <w:szCs w:val="20"/>
              </w:rPr>
            </w:pPr>
            <w:r w:rsidRPr="009E457C">
              <w:rPr>
                <w:sz w:val="18"/>
                <w:szCs w:val="20"/>
                <w:lang w:bidi="ru-RU"/>
              </w:rPr>
              <w:t>1</w:t>
            </w:r>
          </w:p>
        </w:tc>
        <w:tc>
          <w:tcPr>
            <w:tcW w:w="1516" w:type="dxa"/>
            <w:shd w:val="clear" w:color="auto" w:fill="auto"/>
            <w:noWrap/>
            <w:vAlign w:val="center"/>
            <w:hideMark/>
          </w:tcPr>
          <w:p w14:paraId="3D3AE594" w14:textId="77777777" w:rsidR="00C410D8" w:rsidRPr="009E457C" w:rsidRDefault="00C410D8" w:rsidP="009E457C">
            <w:pPr>
              <w:pStyle w:val="NoSpacing"/>
              <w:jc w:val="center"/>
              <w:rPr>
                <w:sz w:val="18"/>
                <w:szCs w:val="20"/>
              </w:rPr>
            </w:pPr>
            <w:r w:rsidRPr="009E457C">
              <w:rPr>
                <w:sz w:val="18"/>
                <w:szCs w:val="20"/>
                <w:lang w:bidi="ru-RU"/>
              </w:rPr>
              <w:t>$23 541–$29 425</w:t>
            </w:r>
          </w:p>
        </w:tc>
        <w:tc>
          <w:tcPr>
            <w:tcW w:w="1516" w:type="dxa"/>
            <w:shd w:val="clear" w:color="auto" w:fill="auto"/>
            <w:noWrap/>
            <w:vAlign w:val="center"/>
            <w:hideMark/>
          </w:tcPr>
          <w:p w14:paraId="3D3AE595" w14:textId="77777777" w:rsidR="00C410D8" w:rsidRPr="009E457C" w:rsidRDefault="00C410D8" w:rsidP="009E457C">
            <w:pPr>
              <w:pStyle w:val="NoSpacing"/>
              <w:jc w:val="center"/>
              <w:rPr>
                <w:sz w:val="18"/>
                <w:szCs w:val="20"/>
              </w:rPr>
            </w:pPr>
            <w:r w:rsidRPr="009E457C">
              <w:rPr>
                <w:sz w:val="18"/>
                <w:szCs w:val="20"/>
                <w:lang w:bidi="ru-RU"/>
              </w:rPr>
              <w:t>$29 426–$35 310</w:t>
            </w:r>
          </w:p>
        </w:tc>
        <w:tc>
          <w:tcPr>
            <w:tcW w:w="1516" w:type="dxa"/>
            <w:shd w:val="clear" w:color="auto" w:fill="auto"/>
            <w:noWrap/>
            <w:vAlign w:val="center"/>
            <w:hideMark/>
          </w:tcPr>
          <w:p w14:paraId="3D3AE596" w14:textId="77777777" w:rsidR="00C410D8" w:rsidRPr="009E457C" w:rsidRDefault="00C410D8" w:rsidP="009E457C">
            <w:pPr>
              <w:pStyle w:val="NoSpacing"/>
              <w:jc w:val="center"/>
              <w:rPr>
                <w:sz w:val="18"/>
                <w:szCs w:val="20"/>
              </w:rPr>
            </w:pPr>
            <w:r w:rsidRPr="009E457C">
              <w:rPr>
                <w:sz w:val="18"/>
                <w:szCs w:val="20"/>
                <w:lang w:bidi="ru-RU"/>
              </w:rPr>
              <w:t>$35 311–$41 195</w:t>
            </w:r>
          </w:p>
        </w:tc>
        <w:tc>
          <w:tcPr>
            <w:tcW w:w="1516" w:type="dxa"/>
            <w:shd w:val="clear" w:color="auto" w:fill="auto"/>
            <w:noWrap/>
            <w:vAlign w:val="center"/>
            <w:hideMark/>
          </w:tcPr>
          <w:p w14:paraId="3D3AE597" w14:textId="77777777" w:rsidR="00C410D8" w:rsidRPr="009E457C" w:rsidRDefault="00C410D8" w:rsidP="009E457C">
            <w:pPr>
              <w:pStyle w:val="NoSpacing"/>
              <w:jc w:val="center"/>
              <w:rPr>
                <w:sz w:val="18"/>
                <w:szCs w:val="20"/>
              </w:rPr>
            </w:pPr>
            <w:r w:rsidRPr="009E457C">
              <w:rPr>
                <w:sz w:val="18"/>
                <w:szCs w:val="20"/>
                <w:lang w:bidi="ru-RU"/>
              </w:rPr>
              <w:t>$41 196–47 080</w:t>
            </w:r>
          </w:p>
        </w:tc>
        <w:tc>
          <w:tcPr>
            <w:tcW w:w="1516" w:type="dxa"/>
            <w:shd w:val="clear" w:color="auto" w:fill="auto"/>
            <w:noWrap/>
            <w:vAlign w:val="center"/>
            <w:hideMark/>
          </w:tcPr>
          <w:p w14:paraId="3D3AE598" w14:textId="77777777" w:rsidR="00C410D8" w:rsidRPr="009E457C" w:rsidRDefault="00C410D8" w:rsidP="009E457C">
            <w:pPr>
              <w:pStyle w:val="NoSpacing"/>
              <w:jc w:val="center"/>
              <w:rPr>
                <w:sz w:val="18"/>
                <w:szCs w:val="20"/>
              </w:rPr>
            </w:pPr>
            <w:r w:rsidRPr="009E457C">
              <w:rPr>
                <w:sz w:val="18"/>
                <w:szCs w:val="20"/>
                <w:lang w:bidi="ru-RU"/>
              </w:rPr>
              <w:t>$47 081–$58 350</w:t>
            </w:r>
          </w:p>
        </w:tc>
      </w:tr>
      <w:tr w:rsidR="00C410D8" w:rsidRPr="009E457C" w14:paraId="3D3AE5A3" w14:textId="77777777" w:rsidTr="009E457C">
        <w:trPr>
          <w:trHeight w:val="285"/>
          <w:jc w:val="center"/>
        </w:trPr>
        <w:tc>
          <w:tcPr>
            <w:tcW w:w="1170" w:type="dxa"/>
            <w:shd w:val="clear" w:color="auto" w:fill="auto"/>
            <w:vAlign w:val="center"/>
          </w:tcPr>
          <w:p w14:paraId="3D3AE59A" w14:textId="77777777" w:rsidR="00C410D8" w:rsidRPr="009E457C" w:rsidRDefault="00C410D8" w:rsidP="009E457C">
            <w:pPr>
              <w:pStyle w:val="NoSpacing"/>
              <w:jc w:val="center"/>
              <w:rPr>
                <w:sz w:val="18"/>
                <w:szCs w:val="20"/>
              </w:rPr>
            </w:pPr>
            <w:r w:rsidRPr="009E457C">
              <w:rPr>
                <w:sz w:val="18"/>
                <w:szCs w:val="20"/>
                <w:lang w:bidi="ru-RU"/>
              </w:rPr>
              <w:t>2</w:t>
            </w:r>
          </w:p>
        </w:tc>
        <w:tc>
          <w:tcPr>
            <w:tcW w:w="1170" w:type="dxa"/>
            <w:shd w:val="clear" w:color="auto" w:fill="auto"/>
            <w:vAlign w:val="center"/>
          </w:tcPr>
          <w:p w14:paraId="3D3AE59B" w14:textId="77777777" w:rsidR="00C410D8" w:rsidRPr="009E457C" w:rsidRDefault="00C410D8" w:rsidP="009E457C">
            <w:pPr>
              <w:pStyle w:val="NoSpacing"/>
              <w:jc w:val="center"/>
              <w:rPr>
                <w:sz w:val="18"/>
                <w:szCs w:val="20"/>
              </w:rPr>
            </w:pPr>
            <w:r w:rsidRPr="009E457C">
              <w:rPr>
                <w:sz w:val="18"/>
                <w:szCs w:val="20"/>
                <w:lang w:bidi="ru-RU"/>
              </w:rPr>
              <w:t>$31 960</w:t>
            </w:r>
          </w:p>
        </w:tc>
        <w:tc>
          <w:tcPr>
            <w:tcW w:w="236" w:type="dxa"/>
            <w:tcBorders>
              <w:top w:val="nil"/>
              <w:bottom w:val="nil"/>
            </w:tcBorders>
            <w:shd w:val="clear" w:color="auto" w:fill="auto"/>
            <w:vAlign w:val="center"/>
          </w:tcPr>
          <w:p w14:paraId="3D3AE59C" w14:textId="77777777" w:rsidR="00C410D8" w:rsidRPr="009E457C" w:rsidRDefault="00C410D8" w:rsidP="003D6086">
            <w:pPr>
              <w:pStyle w:val="NoSpacing"/>
              <w:rPr>
                <w:sz w:val="18"/>
                <w:szCs w:val="20"/>
              </w:rPr>
            </w:pPr>
          </w:p>
        </w:tc>
        <w:tc>
          <w:tcPr>
            <w:tcW w:w="1546" w:type="dxa"/>
            <w:shd w:val="clear" w:color="auto" w:fill="auto"/>
            <w:noWrap/>
            <w:vAlign w:val="center"/>
            <w:hideMark/>
          </w:tcPr>
          <w:p w14:paraId="3D3AE59D" w14:textId="77777777" w:rsidR="00C410D8" w:rsidRPr="009E457C" w:rsidRDefault="00C410D8" w:rsidP="009E457C">
            <w:pPr>
              <w:pStyle w:val="NoSpacing"/>
              <w:jc w:val="center"/>
              <w:rPr>
                <w:sz w:val="18"/>
                <w:szCs w:val="20"/>
              </w:rPr>
            </w:pPr>
            <w:r w:rsidRPr="009E457C">
              <w:rPr>
                <w:sz w:val="18"/>
                <w:szCs w:val="20"/>
                <w:lang w:bidi="ru-RU"/>
              </w:rPr>
              <w:t>2</w:t>
            </w:r>
          </w:p>
        </w:tc>
        <w:tc>
          <w:tcPr>
            <w:tcW w:w="1516" w:type="dxa"/>
            <w:shd w:val="clear" w:color="auto" w:fill="auto"/>
            <w:noWrap/>
            <w:vAlign w:val="center"/>
            <w:hideMark/>
          </w:tcPr>
          <w:p w14:paraId="3D3AE59E" w14:textId="77777777" w:rsidR="00C410D8" w:rsidRPr="009E457C" w:rsidRDefault="00C410D8" w:rsidP="009E457C">
            <w:pPr>
              <w:pStyle w:val="NoSpacing"/>
              <w:jc w:val="center"/>
              <w:rPr>
                <w:sz w:val="18"/>
                <w:szCs w:val="20"/>
              </w:rPr>
            </w:pPr>
            <w:r w:rsidRPr="009E457C">
              <w:rPr>
                <w:sz w:val="18"/>
                <w:szCs w:val="20"/>
                <w:lang w:bidi="ru-RU"/>
              </w:rPr>
              <w:t>$31 861–$39 825</w:t>
            </w:r>
          </w:p>
        </w:tc>
        <w:tc>
          <w:tcPr>
            <w:tcW w:w="1516" w:type="dxa"/>
            <w:shd w:val="clear" w:color="auto" w:fill="auto"/>
            <w:noWrap/>
            <w:vAlign w:val="center"/>
            <w:hideMark/>
          </w:tcPr>
          <w:p w14:paraId="3D3AE59F" w14:textId="77777777" w:rsidR="00C410D8" w:rsidRPr="009E457C" w:rsidRDefault="00C410D8" w:rsidP="009E457C">
            <w:pPr>
              <w:pStyle w:val="NoSpacing"/>
              <w:jc w:val="center"/>
              <w:rPr>
                <w:sz w:val="18"/>
                <w:szCs w:val="20"/>
              </w:rPr>
            </w:pPr>
            <w:r w:rsidRPr="009E457C">
              <w:rPr>
                <w:sz w:val="18"/>
                <w:szCs w:val="20"/>
                <w:lang w:bidi="ru-RU"/>
              </w:rPr>
              <w:t>$39 826–$47 790</w:t>
            </w:r>
          </w:p>
        </w:tc>
        <w:tc>
          <w:tcPr>
            <w:tcW w:w="1516" w:type="dxa"/>
            <w:shd w:val="clear" w:color="auto" w:fill="auto"/>
            <w:noWrap/>
            <w:vAlign w:val="center"/>
            <w:hideMark/>
          </w:tcPr>
          <w:p w14:paraId="3D3AE5A0" w14:textId="77777777" w:rsidR="00C410D8" w:rsidRPr="009E457C" w:rsidRDefault="00C410D8" w:rsidP="009E457C">
            <w:pPr>
              <w:pStyle w:val="NoSpacing"/>
              <w:jc w:val="center"/>
              <w:rPr>
                <w:sz w:val="18"/>
                <w:szCs w:val="20"/>
              </w:rPr>
            </w:pPr>
            <w:r w:rsidRPr="009E457C">
              <w:rPr>
                <w:sz w:val="18"/>
                <w:szCs w:val="20"/>
                <w:lang w:bidi="ru-RU"/>
              </w:rPr>
              <w:t>$47 791–$55 755</w:t>
            </w:r>
          </w:p>
        </w:tc>
        <w:tc>
          <w:tcPr>
            <w:tcW w:w="1516" w:type="dxa"/>
            <w:shd w:val="clear" w:color="auto" w:fill="auto"/>
            <w:noWrap/>
            <w:vAlign w:val="center"/>
            <w:hideMark/>
          </w:tcPr>
          <w:p w14:paraId="3D3AE5A1" w14:textId="77777777" w:rsidR="00C410D8" w:rsidRPr="009E457C" w:rsidRDefault="00C410D8" w:rsidP="009E457C">
            <w:pPr>
              <w:pStyle w:val="NoSpacing"/>
              <w:jc w:val="center"/>
              <w:rPr>
                <w:sz w:val="18"/>
                <w:szCs w:val="20"/>
              </w:rPr>
            </w:pPr>
            <w:r w:rsidRPr="009E457C">
              <w:rPr>
                <w:sz w:val="18"/>
                <w:szCs w:val="20"/>
                <w:lang w:bidi="ru-RU"/>
              </w:rPr>
              <w:t>$55 756–$63 720</w:t>
            </w:r>
          </w:p>
        </w:tc>
        <w:tc>
          <w:tcPr>
            <w:tcW w:w="1516" w:type="dxa"/>
            <w:shd w:val="clear" w:color="auto" w:fill="auto"/>
            <w:noWrap/>
            <w:vAlign w:val="center"/>
            <w:hideMark/>
          </w:tcPr>
          <w:p w14:paraId="3D3AE5A2" w14:textId="77777777" w:rsidR="00C410D8" w:rsidRPr="009E457C" w:rsidRDefault="00C410D8" w:rsidP="009E457C">
            <w:pPr>
              <w:pStyle w:val="NoSpacing"/>
              <w:jc w:val="center"/>
              <w:rPr>
                <w:sz w:val="18"/>
                <w:szCs w:val="20"/>
              </w:rPr>
            </w:pPr>
            <w:r w:rsidRPr="009E457C">
              <w:rPr>
                <w:sz w:val="18"/>
                <w:szCs w:val="20"/>
                <w:lang w:bidi="ru-RU"/>
              </w:rPr>
              <w:t>$63 721–$79 650</w:t>
            </w:r>
          </w:p>
        </w:tc>
      </w:tr>
      <w:tr w:rsidR="00C410D8" w:rsidRPr="009E457C" w14:paraId="3D3AE5AD" w14:textId="77777777" w:rsidTr="009E457C">
        <w:trPr>
          <w:trHeight w:val="285"/>
          <w:jc w:val="center"/>
        </w:trPr>
        <w:tc>
          <w:tcPr>
            <w:tcW w:w="1170" w:type="dxa"/>
            <w:shd w:val="clear" w:color="auto" w:fill="auto"/>
            <w:vAlign w:val="center"/>
          </w:tcPr>
          <w:p w14:paraId="3D3AE5A4" w14:textId="77777777" w:rsidR="00C410D8" w:rsidRPr="009E457C" w:rsidRDefault="00C410D8" w:rsidP="009E457C">
            <w:pPr>
              <w:pStyle w:val="NoSpacing"/>
              <w:jc w:val="center"/>
              <w:rPr>
                <w:sz w:val="18"/>
                <w:szCs w:val="20"/>
              </w:rPr>
            </w:pPr>
            <w:r w:rsidRPr="009E457C">
              <w:rPr>
                <w:sz w:val="18"/>
                <w:szCs w:val="20"/>
                <w:lang w:bidi="ru-RU"/>
              </w:rPr>
              <w:t>3</w:t>
            </w:r>
          </w:p>
        </w:tc>
        <w:tc>
          <w:tcPr>
            <w:tcW w:w="1170" w:type="dxa"/>
            <w:shd w:val="clear" w:color="auto" w:fill="auto"/>
            <w:vAlign w:val="center"/>
          </w:tcPr>
          <w:p w14:paraId="3D3AE5A5" w14:textId="77777777" w:rsidR="00C410D8" w:rsidRPr="009E457C" w:rsidRDefault="00C410D8" w:rsidP="009E457C">
            <w:pPr>
              <w:pStyle w:val="NoSpacing"/>
              <w:jc w:val="center"/>
              <w:rPr>
                <w:sz w:val="18"/>
                <w:szCs w:val="20"/>
              </w:rPr>
            </w:pPr>
            <w:r w:rsidRPr="009E457C">
              <w:rPr>
                <w:sz w:val="18"/>
                <w:szCs w:val="20"/>
                <w:lang w:bidi="ru-RU"/>
              </w:rPr>
              <w:t>$40 180</w:t>
            </w:r>
          </w:p>
        </w:tc>
        <w:tc>
          <w:tcPr>
            <w:tcW w:w="236" w:type="dxa"/>
            <w:tcBorders>
              <w:top w:val="nil"/>
              <w:bottom w:val="nil"/>
            </w:tcBorders>
            <w:shd w:val="clear" w:color="auto" w:fill="auto"/>
            <w:vAlign w:val="center"/>
          </w:tcPr>
          <w:p w14:paraId="3D3AE5A6" w14:textId="77777777" w:rsidR="00C410D8" w:rsidRPr="009E457C" w:rsidRDefault="00C410D8" w:rsidP="003D6086">
            <w:pPr>
              <w:pStyle w:val="NoSpacing"/>
              <w:rPr>
                <w:sz w:val="18"/>
                <w:szCs w:val="20"/>
              </w:rPr>
            </w:pPr>
          </w:p>
        </w:tc>
        <w:tc>
          <w:tcPr>
            <w:tcW w:w="1546" w:type="dxa"/>
            <w:shd w:val="clear" w:color="auto" w:fill="auto"/>
            <w:noWrap/>
            <w:vAlign w:val="center"/>
            <w:hideMark/>
          </w:tcPr>
          <w:p w14:paraId="3D3AE5A7" w14:textId="77777777" w:rsidR="00C410D8" w:rsidRPr="009E457C" w:rsidRDefault="00C410D8" w:rsidP="009E457C">
            <w:pPr>
              <w:pStyle w:val="NoSpacing"/>
              <w:jc w:val="center"/>
              <w:rPr>
                <w:sz w:val="18"/>
                <w:szCs w:val="20"/>
              </w:rPr>
            </w:pPr>
            <w:r w:rsidRPr="009E457C">
              <w:rPr>
                <w:sz w:val="18"/>
                <w:szCs w:val="20"/>
                <w:lang w:bidi="ru-RU"/>
              </w:rPr>
              <w:t>3</w:t>
            </w:r>
          </w:p>
        </w:tc>
        <w:tc>
          <w:tcPr>
            <w:tcW w:w="1516" w:type="dxa"/>
            <w:shd w:val="clear" w:color="auto" w:fill="auto"/>
            <w:noWrap/>
            <w:vAlign w:val="center"/>
            <w:hideMark/>
          </w:tcPr>
          <w:p w14:paraId="3D3AE5A8" w14:textId="77777777" w:rsidR="00C410D8" w:rsidRPr="009E457C" w:rsidRDefault="00C410D8" w:rsidP="009E457C">
            <w:pPr>
              <w:pStyle w:val="NoSpacing"/>
              <w:jc w:val="center"/>
              <w:rPr>
                <w:sz w:val="18"/>
                <w:szCs w:val="20"/>
              </w:rPr>
            </w:pPr>
            <w:r w:rsidRPr="009E457C">
              <w:rPr>
                <w:sz w:val="18"/>
                <w:szCs w:val="20"/>
                <w:lang w:bidi="ru-RU"/>
              </w:rPr>
              <w:t>$40 181–$50 225</w:t>
            </w:r>
          </w:p>
        </w:tc>
        <w:tc>
          <w:tcPr>
            <w:tcW w:w="1516" w:type="dxa"/>
            <w:shd w:val="clear" w:color="auto" w:fill="auto"/>
            <w:noWrap/>
            <w:vAlign w:val="center"/>
            <w:hideMark/>
          </w:tcPr>
          <w:p w14:paraId="3D3AE5A9" w14:textId="77777777" w:rsidR="00C410D8" w:rsidRPr="009E457C" w:rsidRDefault="00C410D8" w:rsidP="009E457C">
            <w:pPr>
              <w:pStyle w:val="NoSpacing"/>
              <w:jc w:val="center"/>
              <w:rPr>
                <w:sz w:val="18"/>
                <w:szCs w:val="20"/>
              </w:rPr>
            </w:pPr>
            <w:r w:rsidRPr="009E457C">
              <w:rPr>
                <w:sz w:val="18"/>
                <w:szCs w:val="20"/>
                <w:lang w:bidi="ru-RU"/>
              </w:rPr>
              <w:t>$50 226–$60 250</w:t>
            </w:r>
          </w:p>
        </w:tc>
        <w:tc>
          <w:tcPr>
            <w:tcW w:w="1516" w:type="dxa"/>
            <w:shd w:val="clear" w:color="auto" w:fill="auto"/>
            <w:noWrap/>
            <w:vAlign w:val="center"/>
            <w:hideMark/>
          </w:tcPr>
          <w:p w14:paraId="3D3AE5AA" w14:textId="77777777" w:rsidR="00C410D8" w:rsidRPr="009E457C" w:rsidRDefault="00C410D8" w:rsidP="009E457C">
            <w:pPr>
              <w:pStyle w:val="NoSpacing"/>
              <w:jc w:val="center"/>
              <w:rPr>
                <w:sz w:val="18"/>
                <w:szCs w:val="20"/>
              </w:rPr>
            </w:pPr>
            <w:r w:rsidRPr="009E457C">
              <w:rPr>
                <w:sz w:val="18"/>
                <w:szCs w:val="20"/>
                <w:lang w:bidi="ru-RU"/>
              </w:rPr>
              <w:t>$60 271–$70 315</w:t>
            </w:r>
          </w:p>
        </w:tc>
        <w:tc>
          <w:tcPr>
            <w:tcW w:w="1516" w:type="dxa"/>
            <w:shd w:val="clear" w:color="auto" w:fill="auto"/>
            <w:noWrap/>
            <w:vAlign w:val="center"/>
            <w:hideMark/>
          </w:tcPr>
          <w:p w14:paraId="3D3AE5AB" w14:textId="77777777" w:rsidR="00C410D8" w:rsidRPr="009E457C" w:rsidRDefault="00C410D8" w:rsidP="009E457C">
            <w:pPr>
              <w:pStyle w:val="NoSpacing"/>
              <w:jc w:val="center"/>
              <w:rPr>
                <w:sz w:val="18"/>
                <w:szCs w:val="20"/>
              </w:rPr>
            </w:pPr>
            <w:r w:rsidRPr="009E457C">
              <w:rPr>
                <w:sz w:val="18"/>
                <w:szCs w:val="20"/>
                <w:lang w:bidi="ru-RU"/>
              </w:rPr>
              <w:t>$70 316–$80 360</w:t>
            </w:r>
          </w:p>
        </w:tc>
        <w:tc>
          <w:tcPr>
            <w:tcW w:w="1516" w:type="dxa"/>
            <w:shd w:val="clear" w:color="auto" w:fill="auto"/>
            <w:noWrap/>
            <w:vAlign w:val="center"/>
            <w:hideMark/>
          </w:tcPr>
          <w:p w14:paraId="3D3AE5AC" w14:textId="77777777" w:rsidR="00C410D8" w:rsidRPr="009E457C" w:rsidRDefault="00C410D8" w:rsidP="009E457C">
            <w:pPr>
              <w:pStyle w:val="NoSpacing"/>
              <w:jc w:val="center"/>
              <w:rPr>
                <w:sz w:val="18"/>
                <w:szCs w:val="20"/>
              </w:rPr>
            </w:pPr>
            <w:r w:rsidRPr="009E457C">
              <w:rPr>
                <w:sz w:val="18"/>
                <w:szCs w:val="20"/>
                <w:lang w:bidi="ru-RU"/>
              </w:rPr>
              <w:t>$80 361–$100 450</w:t>
            </w:r>
          </w:p>
        </w:tc>
      </w:tr>
      <w:tr w:rsidR="00C410D8" w:rsidRPr="009E457C" w14:paraId="3D3AE5B7" w14:textId="77777777" w:rsidTr="009E457C">
        <w:trPr>
          <w:trHeight w:val="285"/>
          <w:jc w:val="center"/>
        </w:trPr>
        <w:tc>
          <w:tcPr>
            <w:tcW w:w="1170" w:type="dxa"/>
            <w:shd w:val="clear" w:color="auto" w:fill="auto"/>
            <w:vAlign w:val="center"/>
          </w:tcPr>
          <w:p w14:paraId="3D3AE5AE" w14:textId="77777777" w:rsidR="00C410D8" w:rsidRPr="009E457C" w:rsidRDefault="00C410D8" w:rsidP="009E457C">
            <w:pPr>
              <w:pStyle w:val="NoSpacing"/>
              <w:jc w:val="center"/>
              <w:rPr>
                <w:sz w:val="18"/>
                <w:szCs w:val="20"/>
              </w:rPr>
            </w:pPr>
            <w:r w:rsidRPr="009E457C">
              <w:rPr>
                <w:sz w:val="18"/>
                <w:szCs w:val="20"/>
                <w:lang w:bidi="ru-RU"/>
              </w:rPr>
              <w:t>4</w:t>
            </w:r>
          </w:p>
        </w:tc>
        <w:tc>
          <w:tcPr>
            <w:tcW w:w="1170" w:type="dxa"/>
            <w:shd w:val="clear" w:color="auto" w:fill="auto"/>
            <w:vAlign w:val="center"/>
          </w:tcPr>
          <w:p w14:paraId="3D3AE5AF" w14:textId="77777777" w:rsidR="00C410D8" w:rsidRPr="009E457C" w:rsidRDefault="00C410D8" w:rsidP="009E457C">
            <w:pPr>
              <w:pStyle w:val="NoSpacing"/>
              <w:jc w:val="center"/>
              <w:rPr>
                <w:sz w:val="18"/>
                <w:szCs w:val="20"/>
              </w:rPr>
            </w:pPr>
            <w:r w:rsidRPr="009E457C">
              <w:rPr>
                <w:sz w:val="18"/>
                <w:szCs w:val="20"/>
                <w:lang w:bidi="ru-RU"/>
              </w:rPr>
              <w:t>$48 500</w:t>
            </w:r>
          </w:p>
        </w:tc>
        <w:tc>
          <w:tcPr>
            <w:tcW w:w="236" w:type="dxa"/>
            <w:tcBorders>
              <w:top w:val="nil"/>
              <w:bottom w:val="nil"/>
            </w:tcBorders>
            <w:shd w:val="clear" w:color="auto" w:fill="auto"/>
            <w:vAlign w:val="center"/>
          </w:tcPr>
          <w:p w14:paraId="3D3AE5B0" w14:textId="77777777" w:rsidR="00C410D8" w:rsidRPr="009E457C" w:rsidRDefault="00C410D8" w:rsidP="003D6086">
            <w:pPr>
              <w:pStyle w:val="NoSpacing"/>
              <w:rPr>
                <w:sz w:val="18"/>
                <w:szCs w:val="20"/>
              </w:rPr>
            </w:pPr>
          </w:p>
        </w:tc>
        <w:tc>
          <w:tcPr>
            <w:tcW w:w="1546" w:type="dxa"/>
            <w:shd w:val="clear" w:color="auto" w:fill="auto"/>
            <w:noWrap/>
            <w:vAlign w:val="center"/>
            <w:hideMark/>
          </w:tcPr>
          <w:p w14:paraId="3D3AE5B1" w14:textId="77777777" w:rsidR="00C410D8" w:rsidRPr="009E457C" w:rsidRDefault="00C410D8" w:rsidP="009E457C">
            <w:pPr>
              <w:pStyle w:val="NoSpacing"/>
              <w:jc w:val="center"/>
              <w:rPr>
                <w:sz w:val="18"/>
                <w:szCs w:val="20"/>
              </w:rPr>
            </w:pPr>
            <w:r w:rsidRPr="009E457C">
              <w:rPr>
                <w:sz w:val="18"/>
                <w:szCs w:val="20"/>
                <w:lang w:bidi="ru-RU"/>
              </w:rPr>
              <w:t>4</w:t>
            </w:r>
          </w:p>
        </w:tc>
        <w:tc>
          <w:tcPr>
            <w:tcW w:w="1516" w:type="dxa"/>
            <w:shd w:val="clear" w:color="auto" w:fill="auto"/>
            <w:noWrap/>
            <w:vAlign w:val="center"/>
            <w:hideMark/>
          </w:tcPr>
          <w:p w14:paraId="3D3AE5B2" w14:textId="77777777" w:rsidR="00C410D8" w:rsidRPr="009E457C" w:rsidRDefault="00C410D8" w:rsidP="009E457C">
            <w:pPr>
              <w:pStyle w:val="NoSpacing"/>
              <w:jc w:val="center"/>
              <w:rPr>
                <w:sz w:val="18"/>
                <w:szCs w:val="20"/>
              </w:rPr>
            </w:pPr>
            <w:r w:rsidRPr="009E457C">
              <w:rPr>
                <w:sz w:val="18"/>
                <w:szCs w:val="20"/>
                <w:lang w:bidi="ru-RU"/>
              </w:rPr>
              <w:t>$48 501–$60 625</w:t>
            </w:r>
          </w:p>
        </w:tc>
        <w:tc>
          <w:tcPr>
            <w:tcW w:w="1516" w:type="dxa"/>
            <w:shd w:val="clear" w:color="auto" w:fill="auto"/>
            <w:noWrap/>
            <w:vAlign w:val="center"/>
            <w:hideMark/>
          </w:tcPr>
          <w:p w14:paraId="3D3AE5B3" w14:textId="77777777" w:rsidR="00C410D8" w:rsidRPr="009E457C" w:rsidRDefault="00C410D8" w:rsidP="009E457C">
            <w:pPr>
              <w:pStyle w:val="NoSpacing"/>
              <w:jc w:val="center"/>
              <w:rPr>
                <w:sz w:val="18"/>
                <w:szCs w:val="20"/>
              </w:rPr>
            </w:pPr>
            <w:r w:rsidRPr="009E457C">
              <w:rPr>
                <w:sz w:val="18"/>
                <w:szCs w:val="20"/>
                <w:lang w:bidi="ru-RU"/>
              </w:rPr>
              <w:t>$60 626–$72 750</w:t>
            </w:r>
          </w:p>
        </w:tc>
        <w:tc>
          <w:tcPr>
            <w:tcW w:w="1516" w:type="dxa"/>
            <w:shd w:val="clear" w:color="auto" w:fill="auto"/>
            <w:noWrap/>
            <w:vAlign w:val="center"/>
            <w:hideMark/>
          </w:tcPr>
          <w:p w14:paraId="3D3AE5B4" w14:textId="77777777" w:rsidR="00C410D8" w:rsidRPr="009E457C" w:rsidRDefault="00C410D8" w:rsidP="009E457C">
            <w:pPr>
              <w:pStyle w:val="NoSpacing"/>
              <w:jc w:val="center"/>
              <w:rPr>
                <w:sz w:val="18"/>
                <w:szCs w:val="20"/>
              </w:rPr>
            </w:pPr>
            <w:r w:rsidRPr="009E457C">
              <w:rPr>
                <w:sz w:val="18"/>
                <w:szCs w:val="20"/>
                <w:lang w:bidi="ru-RU"/>
              </w:rPr>
              <w:t>$72 751–$84 875</w:t>
            </w:r>
          </w:p>
        </w:tc>
        <w:tc>
          <w:tcPr>
            <w:tcW w:w="1516" w:type="dxa"/>
            <w:shd w:val="clear" w:color="auto" w:fill="auto"/>
            <w:noWrap/>
            <w:vAlign w:val="center"/>
            <w:hideMark/>
          </w:tcPr>
          <w:p w14:paraId="3D3AE5B5" w14:textId="77777777" w:rsidR="00C410D8" w:rsidRPr="009E457C" w:rsidRDefault="00C410D8" w:rsidP="009E457C">
            <w:pPr>
              <w:pStyle w:val="NoSpacing"/>
              <w:jc w:val="center"/>
              <w:rPr>
                <w:sz w:val="18"/>
                <w:szCs w:val="20"/>
              </w:rPr>
            </w:pPr>
            <w:r w:rsidRPr="009E457C">
              <w:rPr>
                <w:sz w:val="18"/>
                <w:szCs w:val="20"/>
                <w:lang w:bidi="ru-RU"/>
              </w:rPr>
              <w:t>$84 876–$97 000</w:t>
            </w:r>
          </w:p>
        </w:tc>
        <w:tc>
          <w:tcPr>
            <w:tcW w:w="1516" w:type="dxa"/>
            <w:shd w:val="clear" w:color="auto" w:fill="auto"/>
            <w:noWrap/>
            <w:vAlign w:val="center"/>
            <w:hideMark/>
          </w:tcPr>
          <w:p w14:paraId="3D3AE5B6" w14:textId="77777777" w:rsidR="00C410D8" w:rsidRPr="009E457C" w:rsidRDefault="00C410D8" w:rsidP="009E457C">
            <w:pPr>
              <w:pStyle w:val="NoSpacing"/>
              <w:jc w:val="center"/>
              <w:rPr>
                <w:sz w:val="18"/>
                <w:szCs w:val="20"/>
              </w:rPr>
            </w:pPr>
            <w:r w:rsidRPr="009E457C">
              <w:rPr>
                <w:sz w:val="18"/>
                <w:szCs w:val="20"/>
                <w:lang w:bidi="ru-RU"/>
              </w:rPr>
              <w:t>$97 001–$121 250</w:t>
            </w:r>
          </w:p>
        </w:tc>
      </w:tr>
      <w:tr w:rsidR="00C410D8" w:rsidRPr="009E457C" w14:paraId="3D3AE5C1" w14:textId="77777777" w:rsidTr="009E457C">
        <w:trPr>
          <w:trHeight w:val="285"/>
          <w:jc w:val="center"/>
        </w:trPr>
        <w:tc>
          <w:tcPr>
            <w:tcW w:w="1170" w:type="dxa"/>
            <w:shd w:val="clear" w:color="auto" w:fill="auto"/>
            <w:vAlign w:val="center"/>
          </w:tcPr>
          <w:p w14:paraId="3D3AE5B8" w14:textId="77777777" w:rsidR="00C410D8" w:rsidRPr="009E457C" w:rsidRDefault="00C410D8" w:rsidP="009E457C">
            <w:pPr>
              <w:pStyle w:val="NoSpacing"/>
              <w:jc w:val="center"/>
              <w:rPr>
                <w:sz w:val="18"/>
                <w:szCs w:val="20"/>
              </w:rPr>
            </w:pPr>
            <w:r w:rsidRPr="009E457C">
              <w:rPr>
                <w:sz w:val="18"/>
                <w:szCs w:val="20"/>
                <w:lang w:bidi="ru-RU"/>
              </w:rPr>
              <w:t>5</w:t>
            </w:r>
          </w:p>
        </w:tc>
        <w:tc>
          <w:tcPr>
            <w:tcW w:w="1170" w:type="dxa"/>
            <w:shd w:val="clear" w:color="auto" w:fill="auto"/>
            <w:vAlign w:val="center"/>
          </w:tcPr>
          <w:p w14:paraId="3D3AE5B9" w14:textId="77777777" w:rsidR="00C410D8" w:rsidRPr="009E457C" w:rsidRDefault="00C410D8" w:rsidP="009E457C">
            <w:pPr>
              <w:pStyle w:val="NoSpacing"/>
              <w:jc w:val="center"/>
              <w:rPr>
                <w:sz w:val="18"/>
                <w:szCs w:val="20"/>
              </w:rPr>
            </w:pPr>
            <w:r w:rsidRPr="009E457C">
              <w:rPr>
                <w:sz w:val="18"/>
                <w:szCs w:val="20"/>
                <w:lang w:bidi="ru-RU"/>
              </w:rPr>
              <w:t>$56 820</w:t>
            </w:r>
          </w:p>
        </w:tc>
        <w:tc>
          <w:tcPr>
            <w:tcW w:w="236" w:type="dxa"/>
            <w:tcBorders>
              <w:top w:val="nil"/>
              <w:bottom w:val="nil"/>
            </w:tcBorders>
            <w:shd w:val="clear" w:color="auto" w:fill="auto"/>
            <w:vAlign w:val="center"/>
          </w:tcPr>
          <w:p w14:paraId="3D3AE5BA" w14:textId="77777777" w:rsidR="00C410D8" w:rsidRPr="009E457C" w:rsidRDefault="00C410D8" w:rsidP="003D6086">
            <w:pPr>
              <w:pStyle w:val="NoSpacing"/>
              <w:rPr>
                <w:sz w:val="18"/>
                <w:szCs w:val="20"/>
              </w:rPr>
            </w:pPr>
          </w:p>
        </w:tc>
        <w:tc>
          <w:tcPr>
            <w:tcW w:w="1546" w:type="dxa"/>
            <w:shd w:val="clear" w:color="auto" w:fill="auto"/>
            <w:noWrap/>
            <w:vAlign w:val="center"/>
            <w:hideMark/>
          </w:tcPr>
          <w:p w14:paraId="3D3AE5BB" w14:textId="77777777" w:rsidR="00C410D8" w:rsidRPr="009E457C" w:rsidRDefault="00C410D8" w:rsidP="009E457C">
            <w:pPr>
              <w:pStyle w:val="NoSpacing"/>
              <w:jc w:val="center"/>
              <w:rPr>
                <w:sz w:val="18"/>
                <w:szCs w:val="20"/>
              </w:rPr>
            </w:pPr>
            <w:r w:rsidRPr="009E457C">
              <w:rPr>
                <w:sz w:val="18"/>
                <w:szCs w:val="20"/>
                <w:lang w:bidi="ru-RU"/>
              </w:rPr>
              <w:t>5</w:t>
            </w:r>
          </w:p>
        </w:tc>
        <w:tc>
          <w:tcPr>
            <w:tcW w:w="1516" w:type="dxa"/>
            <w:shd w:val="clear" w:color="auto" w:fill="auto"/>
            <w:noWrap/>
            <w:vAlign w:val="center"/>
            <w:hideMark/>
          </w:tcPr>
          <w:p w14:paraId="3D3AE5BC" w14:textId="77777777" w:rsidR="00C410D8" w:rsidRPr="009E457C" w:rsidRDefault="00C410D8" w:rsidP="009E457C">
            <w:pPr>
              <w:pStyle w:val="NoSpacing"/>
              <w:jc w:val="center"/>
              <w:rPr>
                <w:sz w:val="18"/>
                <w:szCs w:val="20"/>
              </w:rPr>
            </w:pPr>
            <w:r w:rsidRPr="009E457C">
              <w:rPr>
                <w:sz w:val="18"/>
                <w:szCs w:val="20"/>
                <w:lang w:bidi="ru-RU"/>
              </w:rPr>
              <w:t>$56 821–$71 025</w:t>
            </w:r>
          </w:p>
        </w:tc>
        <w:tc>
          <w:tcPr>
            <w:tcW w:w="1516" w:type="dxa"/>
            <w:shd w:val="clear" w:color="auto" w:fill="auto"/>
            <w:noWrap/>
            <w:vAlign w:val="center"/>
            <w:hideMark/>
          </w:tcPr>
          <w:p w14:paraId="3D3AE5BD" w14:textId="77777777" w:rsidR="00C410D8" w:rsidRPr="009E457C" w:rsidRDefault="00C410D8" w:rsidP="009E457C">
            <w:pPr>
              <w:pStyle w:val="NoSpacing"/>
              <w:jc w:val="center"/>
              <w:rPr>
                <w:sz w:val="18"/>
                <w:szCs w:val="20"/>
              </w:rPr>
            </w:pPr>
            <w:r w:rsidRPr="009E457C">
              <w:rPr>
                <w:sz w:val="18"/>
                <w:szCs w:val="20"/>
                <w:lang w:bidi="ru-RU"/>
              </w:rPr>
              <w:t>$71 026–$85 230</w:t>
            </w:r>
          </w:p>
        </w:tc>
        <w:tc>
          <w:tcPr>
            <w:tcW w:w="1516" w:type="dxa"/>
            <w:shd w:val="clear" w:color="auto" w:fill="auto"/>
            <w:noWrap/>
            <w:vAlign w:val="center"/>
            <w:hideMark/>
          </w:tcPr>
          <w:p w14:paraId="3D3AE5BE" w14:textId="77777777" w:rsidR="00C410D8" w:rsidRPr="009E457C" w:rsidRDefault="00C410D8" w:rsidP="009E457C">
            <w:pPr>
              <w:pStyle w:val="NoSpacing"/>
              <w:jc w:val="center"/>
              <w:rPr>
                <w:sz w:val="18"/>
                <w:szCs w:val="20"/>
              </w:rPr>
            </w:pPr>
            <w:r w:rsidRPr="009E457C">
              <w:rPr>
                <w:sz w:val="18"/>
                <w:szCs w:val="20"/>
                <w:lang w:bidi="ru-RU"/>
              </w:rPr>
              <w:t>$85 231–$99 435</w:t>
            </w:r>
          </w:p>
        </w:tc>
        <w:tc>
          <w:tcPr>
            <w:tcW w:w="1516" w:type="dxa"/>
            <w:shd w:val="clear" w:color="auto" w:fill="auto"/>
            <w:noWrap/>
            <w:vAlign w:val="center"/>
            <w:hideMark/>
          </w:tcPr>
          <w:p w14:paraId="3D3AE5BF" w14:textId="77777777" w:rsidR="00C410D8" w:rsidRPr="009E457C" w:rsidRDefault="00C410D8" w:rsidP="009E457C">
            <w:pPr>
              <w:pStyle w:val="NoSpacing"/>
              <w:jc w:val="center"/>
              <w:rPr>
                <w:sz w:val="18"/>
                <w:szCs w:val="20"/>
              </w:rPr>
            </w:pPr>
            <w:r w:rsidRPr="009E457C">
              <w:rPr>
                <w:sz w:val="18"/>
                <w:szCs w:val="20"/>
                <w:lang w:bidi="ru-RU"/>
              </w:rPr>
              <w:t>$99 436–$113 640</w:t>
            </w:r>
          </w:p>
        </w:tc>
        <w:tc>
          <w:tcPr>
            <w:tcW w:w="1516" w:type="dxa"/>
            <w:shd w:val="clear" w:color="auto" w:fill="auto"/>
            <w:noWrap/>
            <w:vAlign w:val="center"/>
            <w:hideMark/>
          </w:tcPr>
          <w:p w14:paraId="3D3AE5C0" w14:textId="77777777" w:rsidR="00C410D8" w:rsidRPr="009E457C" w:rsidRDefault="00C410D8" w:rsidP="009E457C">
            <w:pPr>
              <w:pStyle w:val="NoSpacing"/>
              <w:jc w:val="center"/>
              <w:rPr>
                <w:sz w:val="18"/>
                <w:szCs w:val="20"/>
              </w:rPr>
            </w:pPr>
            <w:r w:rsidRPr="009E457C">
              <w:rPr>
                <w:sz w:val="18"/>
                <w:szCs w:val="20"/>
                <w:lang w:bidi="ru-RU"/>
              </w:rPr>
              <w:t>$113 641–$142 050</w:t>
            </w:r>
          </w:p>
        </w:tc>
      </w:tr>
      <w:tr w:rsidR="00C410D8" w:rsidRPr="009E457C" w14:paraId="3D3AE5CB" w14:textId="77777777" w:rsidTr="009E457C">
        <w:trPr>
          <w:trHeight w:val="285"/>
          <w:jc w:val="center"/>
        </w:trPr>
        <w:tc>
          <w:tcPr>
            <w:tcW w:w="1170" w:type="dxa"/>
            <w:shd w:val="clear" w:color="auto" w:fill="auto"/>
            <w:vAlign w:val="center"/>
          </w:tcPr>
          <w:p w14:paraId="3D3AE5C2" w14:textId="77777777" w:rsidR="00C410D8" w:rsidRPr="009E457C" w:rsidRDefault="00C410D8" w:rsidP="009E457C">
            <w:pPr>
              <w:pStyle w:val="NoSpacing"/>
              <w:jc w:val="center"/>
              <w:rPr>
                <w:sz w:val="18"/>
                <w:szCs w:val="20"/>
              </w:rPr>
            </w:pPr>
            <w:r w:rsidRPr="009E457C">
              <w:rPr>
                <w:sz w:val="18"/>
                <w:szCs w:val="20"/>
                <w:lang w:bidi="ru-RU"/>
              </w:rPr>
              <w:t>6</w:t>
            </w:r>
          </w:p>
        </w:tc>
        <w:tc>
          <w:tcPr>
            <w:tcW w:w="1170" w:type="dxa"/>
            <w:shd w:val="clear" w:color="auto" w:fill="auto"/>
            <w:vAlign w:val="center"/>
          </w:tcPr>
          <w:p w14:paraId="3D3AE5C3" w14:textId="77777777" w:rsidR="00C410D8" w:rsidRPr="009E457C" w:rsidRDefault="00C410D8" w:rsidP="009E457C">
            <w:pPr>
              <w:pStyle w:val="NoSpacing"/>
              <w:jc w:val="center"/>
              <w:rPr>
                <w:sz w:val="18"/>
                <w:szCs w:val="20"/>
              </w:rPr>
            </w:pPr>
            <w:r w:rsidRPr="009E457C">
              <w:rPr>
                <w:sz w:val="18"/>
                <w:szCs w:val="20"/>
                <w:lang w:bidi="ru-RU"/>
              </w:rPr>
              <w:t>$65 140</w:t>
            </w:r>
          </w:p>
        </w:tc>
        <w:tc>
          <w:tcPr>
            <w:tcW w:w="236" w:type="dxa"/>
            <w:tcBorders>
              <w:top w:val="nil"/>
              <w:bottom w:val="nil"/>
            </w:tcBorders>
            <w:shd w:val="clear" w:color="auto" w:fill="auto"/>
            <w:vAlign w:val="center"/>
          </w:tcPr>
          <w:p w14:paraId="3D3AE5C4" w14:textId="77777777" w:rsidR="00C410D8" w:rsidRPr="009E457C" w:rsidRDefault="00C410D8" w:rsidP="003D6086">
            <w:pPr>
              <w:pStyle w:val="NoSpacing"/>
              <w:rPr>
                <w:sz w:val="18"/>
                <w:szCs w:val="20"/>
              </w:rPr>
            </w:pPr>
          </w:p>
        </w:tc>
        <w:tc>
          <w:tcPr>
            <w:tcW w:w="1546" w:type="dxa"/>
            <w:shd w:val="clear" w:color="auto" w:fill="auto"/>
            <w:noWrap/>
            <w:vAlign w:val="center"/>
            <w:hideMark/>
          </w:tcPr>
          <w:p w14:paraId="3D3AE5C5" w14:textId="77777777" w:rsidR="00C410D8" w:rsidRPr="009E457C" w:rsidRDefault="00C410D8" w:rsidP="009E457C">
            <w:pPr>
              <w:pStyle w:val="NoSpacing"/>
              <w:jc w:val="center"/>
              <w:rPr>
                <w:sz w:val="18"/>
                <w:szCs w:val="20"/>
              </w:rPr>
            </w:pPr>
            <w:r w:rsidRPr="009E457C">
              <w:rPr>
                <w:sz w:val="18"/>
                <w:szCs w:val="20"/>
                <w:lang w:bidi="ru-RU"/>
              </w:rPr>
              <w:t>6</w:t>
            </w:r>
          </w:p>
        </w:tc>
        <w:tc>
          <w:tcPr>
            <w:tcW w:w="1516" w:type="dxa"/>
            <w:shd w:val="clear" w:color="auto" w:fill="auto"/>
            <w:noWrap/>
            <w:vAlign w:val="center"/>
            <w:hideMark/>
          </w:tcPr>
          <w:p w14:paraId="3D3AE5C6" w14:textId="77777777" w:rsidR="00C410D8" w:rsidRPr="009E457C" w:rsidRDefault="00C410D8" w:rsidP="009E457C">
            <w:pPr>
              <w:pStyle w:val="NoSpacing"/>
              <w:jc w:val="center"/>
              <w:rPr>
                <w:sz w:val="18"/>
                <w:szCs w:val="20"/>
              </w:rPr>
            </w:pPr>
            <w:r w:rsidRPr="009E457C">
              <w:rPr>
                <w:sz w:val="18"/>
                <w:szCs w:val="20"/>
                <w:lang w:bidi="ru-RU"/>
              </w:rPr>
              <w:t>$65 141–$81 425</w:t>
            </w:r>
          </w:p>
        </w:tc>
        <w:tc>
          <w:tcPr>
            <w:tcW w:w="1516" w:type="dxa"/>
            <w:shd w:val="clear" w:color="auto" w:fill="auto"/>
            <w:noWrap/>
            <w:vAlign w:val="center"/>
            <w:hideMark/>
          </w:tcPr>
          <w:p w14:paraId="3D3AE5C7" w14:textId="77777777" w:rsidR="00C410D8" w:rsidRPr="009E457C" w:rsidRDefault="00C410D8" w:rsidP="009E457C">
            <w:pPr>
              <w:pStyle w:val="NoSpacing"/>
              <w:jc w:val="center"/>
              <w:rPr>
                <w:sz w:val="18"/>
                <w:szCs w:val="20"/>
              </w:rPr>
            </w:pPr>
            <w:r w:rsidRPr="009E457C">
              <w:rPr>
                <w:sz w:val="18"/>
                <w:szCs w:val="20"/>
                <w:lang w:bidi="ru-RU"/>
              </w:rPr>
              <w:t>$81 426–$97 710</w:t>
            </w:r>
          </w:p>
        </w:tc>
        <w:tc>
          <w:tcPr>
            <w:tcW w:w="1516" w:type="dxa"/>
            <w:shd w:val="clear" w:color="auto" w:fill="auto"/>
            <w:noWrap/>
            <w:vAlign w:val="center"/>
            <w:hideMark/>
          </w:tcPr>
          <w:p w14:paraId="3D3AE5C8" w14:textId="77777777" w:rsidR="00C410D8" w:rsidRPr="009E457C" w:rsidRDefault="00C410D8" w:rsidP="009E457C">
            <w:pPr>
              <w:pStyle w:val="NoSpacing"/>
              <w:jc w:val="center"/>
              <w:rPr>
                <w:sz w:val="18"/>
                <w:szCs w:val="20"/>
              </w:rPr>
            </w:pPr>
            <w:r w:rsidRPr="009E457C">
              <w:rPr>
                <w:sz w:val="18"/>
                <w:szCs w:val="20"/>
                <w:lang w:bidi="ru-RU"/>
              </w:rPr>
              <w:t>$97 711–$113 995</w:t>
            </w:r>
          </w:p>
        </w:tc>
        <w:tc>
          <w:tcPr>
            <w:tcW w:w="1516" w:type="dxa"/>
            <w:shd w:val="clear" w:color="auto" w:fill="auto"/>
            <w:noWrap/>
            <w:vAlign w:val="center"/>
            <w:hideMark/>
          </w:tcPr>
          <w:p w14:paraId="3D3AE5C9" w14:textId="77777777" w:rsidR="00C410D8" w:rsidRPr="009E457C" w:rsidRDefault="00C410D8" w:rsidP="009E457C">
            <w:pPr>
              <w:pStyle w:val="NoSpacing"/>
              <w:jc w:val="center"/>
              <w:rPr>
                <w:sz w:val="18"/>
                <w:szCs w:val="20"/>
              </w:rPr>
            </w:pPr>
            <w:r w:rsidRPr="009E457C">
              <w:rPr>
                <w:sz w:val="18"/>
                <w:szCs w:val="20"/>
                <w:lang w:bidi="ru-RU"/>
              </w:rPr>
              <w:t>$113 966–$130 280</w:t>
            </w:r>
          </w:p>
        </w:tc>
        <w:tc>
          <w:tcPr>
            <w:tcW w:w="1516" w:type="dxa"/>
            <w:shd w:val="clear" w:color="auto" w:fill="auto"/>
            <w:noWrap/>
            <w:vAlign w:val="center"/>
            <w:hideMark/>
          </w:tcPr>
          <w:p w14:paraId="3D3AE5CA" w14:textId="77777777" w:rsidR="00C410D8" w:rsidRPr="009E457C" w:rsidRDefault="00C410D8" w:rsidP="009E457C">
            <w:pPr>
              <w:pStyle w:val="NoSpacing"/>
              <w:jc w:val="center"/>
              <w:rPr>
                <w:sz w:val="18"/>
                <w:szCs w:val="20"/>
              </w:rPr>
            </w:pPr>
            <w:r w:rsidRPr="009E457C">
              <w:rPr>
                <w:sz w:val="18"/>
                <w:szCs w:val="20"/>
                <w:lang w:bidi="ru-RU"/>
              </w:rPr>
              <w:t>$130 281–$162 850</w:t>
            </w:r>
          </w:p>
        </w:tc>
      </w:tr>
      <w:tr w:rsidR="00C410D8" w:rsidRPr="009E457C" w14:paraId="3D3AE5D5" w14:textId="77777777" w:rsidTr="009E457C">
        <w:trPr>
          <w:trHeight w:val="285"/>
          <w:jc w:val="center"/>
        </w:trPr>
        <w:tc>
          <w:tcPr>
            <w:tcW w:w="1170" w:type="dxa"/>
            <w:shd w:val="clear" w:color="auto" w:fill="auto"/>
            <w:vAlign w:val="center"/>
          </w:tcPr>
          <w:p w14:paraId="3D3AE5CC" w14:textId="77777777" w:rsidR="00C410D8" w:rsidRPr="009E457C" w:rsidRDefault="00C410D8" w:rsidP="009E457C">
            <w:pPr>
              <w:pStyle w:val="NoSpacing"/>
              <w:jc w:val="center"/>
              <w:rPr>
                <w:sz w:val="18"/>
                <w:szCs w:val="20"/>
              </w:rPr>
            </w:pPr>
            <w:r w:rsidRPr="009E457C">
              <w:rPr>
                <w:sz w:val="18"/>
                <w:szCs w:val="20"/>
                <w:lang w:bidi="ru-RU"/>
              </w:rPr>
              <w:t>7</w:t>
            </w:r>
          </w:p>
        </w:tc>
        <w:tc>
          <w:tcPr>
            <w:tcW w:w="1170" w:type="dxa"/>
            <w:shd w:val="clear" w:color="auto" w:fill="auto"/>
            <w:vAlign w:val="center"/>
          </w:tcPr>
          <w:p w14:paraId="3D3AE5CD" w14:textId="77777777" w:rsidR="00C410D8" w:rsidRPr="009E457C" w:rsidRDefault="00C410D8" w:rsidP="009E457C">
            <w:pPr>
              <w:pStyle w:val="NoSpacing"/>
              <w:jc w:val="center"/>
              <w:rPr>
                <w:sz w:val="18"/>
                <w:szCs w:val="20"/>
              </w:rPr>
            </w:pPr>
            <w:r w:rsidRPr="009E457C">
              <w:rPr>
                <w:sz w:val="18"/>
                <w:szCs w:val="20"/>
                <w:lang w:bidi="ru-RU"/>
              </w:rPr>
              <w:t>$73 460</w:t>
            </w:r>
          </w:p>
        </w:tc>
        <w:tc>
          <w:tcPr>
            <w:tcW w:w="236" w:type="dxa"/>
            <w:tcBorders>
              <w:top w:val="nil"/>
              <w:bottom w:val="nil"/>
            </w:tcBorders>
            <w:shd w:val="clear" w:color="auto" w:fill="auto"/>
            <w:vAlign w:val="center"/>
          </w:tcPr>
          <w:p w14:paraId="3D3AE5CE" w14:textId="77777777" w:rsidR="00C410D8" w:rsidRPr="009E457C" w:rsidRDefault="00C410D8" w:rsidP="003D6086">
            <w:pPr>
              <w:pStyle w:val="NoSpacing"/>
              <w:rPr>
                <w:sz w:val="18"/>
                <w:szCs w:val="20"/>
              </w:rPr>
            </w:pPr>
          </w:p>
        </w:tc>
        <w:tc>
          <w:tcPr>
            <w:tcW w:w="1546" w:type="dxa"/>
            <w:shd w:val="clear" w:color="auto" w:fill="auto"/>
            <w:noWrap/>
            <w:vAlign w:val="center"/>
            <w:hideMark/>
          </w:tcPr>
          <w:p w14:paraId="3D3AE5CF" w14:textId="77777777" w:rsidR="00C410D8" w:rsidRPr="009E457C" w:rsidRDefault="00C410D8" w:rsidP="009E457C">
            <w:pPr>
              <w:pStyle w:val="NoSpacing"/>
              <w:jc w:val="center"/>
              <w:rPr>
                <w:sz w:val="18"/>
                <w:szCs w:val="20"/>
              </w:rPr>
            </w:pPr>
            <w:r w:rsidRPr="009E457C">
              <w:rPr>
                <w:sz w:val="18"/>
                <w:szCs w:val="20"/>
                <w:lang w:bidi="ru-RU"/>
              </w:rPr>
              <w:t>7</w:t>
            </w:r>
          </w:p>
        </w:tc>
        <w:tc>
          <w:tcPr>
            <w:tcW w:w="1516" w:type="dxa"/>
            <w:shd w:val="clear" w:color="auto" w:fill="auto"/>
            <w:noWrap/>
            <w:vAlign w:val="center"/>
            <w:hideMark/>
          </w:tcPr>
          <w:p w14:paraId="3D3AE5D0" w14:textId="77777777" w:rsidR="00C410D8" w:rsidRPr="009E457C" w:rsidRDefault="00C410D8" w:rsidP="009E457C">
            <w:pPr>
              <w:pStyle w:val="NoSpacing"/>
              <w:jc w:val="center"/>
              <w:rPr>
                <w:sz w:val="18"/>
                <w:szCs w:val="20"/>
              </w:rPr>
            </w:pPr>
            <w:r w:rsidRPr="009E457C">
              <w:rPr>
                <w:sz w:val="18"/>
                <w:szCs w:val="20"/>
                <w:lang w:bidi="ru-RU"/>
              </w:rPr>
              <w:t>$73 461–$91 825</w:t>
            </w:r>
          </w:p>
        </w:tc>
        <w:tc>
          <w:tcPr>
            <w:tcW w:w="1516" w:type="dxa"/>
            <w:shd w:val="clear" w:color="auto" w:fill="auto"/>
            <w:noWrap/>
            <w:vAlign w:val="center"/>
            <w:hideMark/>
          </w:tcPr>
          <w:p w14:paraId="3D3AE5D1" w14:textId="77777777" w:rsidR="00C410D8" w:rsidRPr="009E457C" w:rsidRDefault="00C410D8" w:rsidP="009E457C">
            <w:pPr>
              <w:pStyle w:val="NoSpacing"/>
              <w:jc w:val="center"/>
              <w:rPr>
                <w:sz w:val="18"/>
                <w:szCs w:val="20"/>
              </w:rPr>
            </w:pPr>
            <w:r w:rsidRPr="009E457C">
              <w:rPr>
                <w:sz w:val="18"/>
                <w:szCs w:val="20"/>
                <w:lang w:bidi="ru-RU"/>
              </w:rPr>
              <w:t>$91 826–$110 190</w:t>
            </w:r>
          </w:p>
        </w:tc>
        <w:tc>
          <w:tcPr>
            <w:tcW w:w="1516" w:type="dxa"/>
            <w:shd w:val="clear" w:color="auto" w:fill="auto"/>
            <w:noWrap/>
            <w:vAlign w:val="center"/>
            <w:hideMark/>
          </w:tcPr>
          <w:p w14:paraId="3D3AE5D2" w14:textId="77777777" w:rsidR="00C410D8" w:rsidRPr="009E457C" w:rsidRDefault="00C410D8" w:rsidP="009E457C">
            <w:pPr>
              <w:pStyle w:val="NoSpacing"/>
              <w:jc w:val="center"/>
              <w:rPr>
                <w:sz w:val="18"/>
                <w:szCs w:val="20"/>
              </w:rPr>
            </w:pPr>
            <w:r w:rsidRPr="009E457C">
              <w:rPr>
                <w:sz w:val="18"/>
                <w:szCs w:val="20"/>
                <w:lang w:bidi="ru-RU"/>
              </w:rPr>
              <w:t>$110 191–$128 555</w:t>
            </w:r>
          </w:p>
        </w:tc>
        <w:tc>
          <w:tcPr>
            <w:tcW w:w="1516" w:type="dxa"/>
            <w:shd w:val="clear" w:color="auto" w:fill="auto"/>
            <w:noWrap/>
            <w:vAlign w:val="center"/>
            <w:hideMark/>
          </w:tcPr>
          <w:p w14:paraId="3D3AE5D3" w14:textId="77777777" w:rsidR="00C410D8" w:rsidRPr="009E457C" w:rsidRDefault="00C410D8" w:rsidP="009E457C">
            <w:pPr>
              <w:pStyle w:val="NoSpacing"/>
              <w:jc w:val="center"/>
              <w:rPr>
                <w:sz w:val="18"/>
                <w:szCs w:val="20"/>
              </w:rPr>
            </w:pPr>
            <w:r w:rsidRPr="009E457C">
              <w:rPr>
                <w:sz w:val="18"/>
                <w:szCs w:val="20"/>
                <w:lang w:bidi="ru-RU"/>
              </w:rPr>
              <w:t>$128 556–$146 920</w:t>
            </w:r>
          </w:p>
        </w:tc>
        <w:tc>
          <w:tcPr>
            <w:tcW w:w="1516" w:type="dxa"/>
            <w:shd w:val="clear" w:color="auto" w:fill="auto"/>
            <w:noWrap/>
            <w:vAlign w:val="center"/>
            <w:hideMark/>
          </w:tcPr>
          <w:p w14:paraId="3D3AE5D4" w14:textId="77777777" w:rsidR="00C410D8" w:rsidRPr="009E457C" w:rsidRDefault="00C410D8" w:rsidP="009E457C">
            <w:pPr>
              <w:pStyle w:val="NoSpacing"/>
              <w:jc w:val="center"/>
              <w:rPr>
                <w:sz w:val="18"/>
                <w:szCs w:val="20"/>
              </w:rPr>
            </w:pPr>
            <w:r w:rsidRPr="009E457C">
              <w:rPr>
                <w:sz w:val="18"/>
                <w:szCs w:val="20"/>
                <w:lang w:bidi="ru-RU"/>
              </w:rPr>
              <w:t>$146 921–$183 650</w:t>
            </w:r>
          </w:p>
        </w:tc>
      </w:tr>
      <w:tr w:rsidR="00C410D8" w:rsidRPr="009E457C" w14:paraId="3D3AE5DF" w14:textId="77777777" w:rsidTr="009E457C">
        <w:trPr>
          <w:trHeight w:val="285"/>
          <w:jc w:val="center"/>
        </w:trPr>
        <w:tc>
          <w:tcPr>
            <w:tcW w:w="1170" w:type="dxa"/>
            <w:shd w:val="clear" w:color="auto" w:fill="auto"/>
            <w:vAlign w:val="center"/>
          </w:tcPr>
          <w:p w14:paraId="3D3AE5D6" w14:textId="77777777" w:rsidR="00C410D8" w:rsidRPr="009E457C" w:rsidRDefault="00C410D8" w:rsidP="009E457C">
            <w:pPr>
              <w:pStyle w:val="NoSpacing"/>
              <w:jc w:val="center"/>
              <w:rPr>
                <w:sz w:val="18"/>
                <w:szCs w:val="20"/>
              </w:rPr>
            </w:pPr>
            <w:r w:rsidRPr="009E457C">
              <w:rPr>
                <w:sz w:val="18"/>
                <w:szCs w:val="20"/>
                <w:lang w:bidi="ru-RU"/>
              </w:rPr>
              <w:t>8</w:t>
            </w:r>
          </w:p>
        </w:tc>
        <w:tc>
          <w:tcPr>
            <w:tcW w:w="1170" w:type="dxa"/>
            <w:shd w:val="clear" w:color="auto" w:fill="auto"/>
            <w:vAlign w:val="center"/>
          </w:tcPr>
          <w:p w14:paraId="3D3AE5D7" w14:textId="77777777" w:rsidR="00C410D8" w:rsidRPr="009E457C" w:rsidRDefault="00C410D8" w:rsidP="009E457C">
            <w:pPr>
              <w:pStyle w:val="NoSpacing"/>
              <w:jc w:val="center"/>
              <w:rPr>
                <w:sz w:val="18"/>
                <w:szCs w:val="20"/>
              </w:rPr>
            </w:pPr>
            <w:r w:rsidRPr="009E457C">
              <w:rPr>
                <w:sz w:val="18"/>
                <w:szCs w:val="20"/>
                <w:lang w:bidi="ru-RU"/>
              </w:rPr>
              <w:t>$81 780</w:t>
            </w:r>
          </w:p>
        </w:tc>
        <w:tc>
          <w:tcPr>
            <w:tcW w:w="236" w:type="dxa"/>
            <w:tcBorders>
              <w:top w:val="nil"/>
              <w:bottom w:val="nil"/>
            </w:tcBorders>
            <w:shd w:val="clear" w:color="auto" w:fill="auto"/>
            <w:vAlign w:val="center"/>
          </w:tcPr>
          <w:p w14:paraId="3D3AE5D8" w14:textId="77777777" w:rsidR="00C410D8" w:rsidRPr="009E457C" w:rsidRDefault="00C410D8" w:rsidP="003D6086">
            <w:pPr>
              <w:pStyle w:val="NoSpacing"/>
              <w:rPr>
                <w:sz w:val="18"/>
                <w:szCs w:val="20"/>
              </w:rPr>
            </w:pPr>
          </w:p>
        </w:tc>
        <w:tc>
          <w:tcPr>
            <w:tcW w:w="1546" w:type="dxa"/>
            <w:shd w:val="clear" w:color="auto" w:fill="auto"/>
            <w:noWrap/>
            <w:vAlign w:val="center"/>
            <w:hideMark/>
          </w:tcPr>
          <w:p w14:paraId="3D3AE5D9" w14:textId="77777777" w:rsidR="00C410D8" w:rsidRPr="009E457C" w:rsidRDefault="00C410D8" w:rsidP="009E457C">
            <w:pPr>
              <w:pStyle w:val="NoSpacing"/>
              <w:jc w:val="center"/>
              <w:rPr>
                <w:sz w:val="18"/>
                <w:szCs w:val="20"/>
              </w:rPr>
            </w:pPr>
            <w:r w:rsidRPr="009E457C">
              <w:rPr>
                <w:sz w:val="18"/>
                <w:szCs w:val="20"/>
                <w:lang w:bidi="ru-RU"/>
              </w:rPr>
              <w:t>8</w:t>
            </w:r>
          </w:p>
        </w:tc>
        <w:tc>
          <w:tcPr>
            <w:tcW w:w="1516" w:type="dxa"/>
            <w:shd w:val="clear" w:color="auto" w:fill="auto"/>
            <w:noWrap/>
            <w:vAlign w:val="center"/>
            <w:hideMark/>
          </w:tcPr>
          <w:p w14:paraId="3D3AE5DA" w14:textId="77777777" w:rsidR="00C410D8" w:rsidRPr="009E457C" w:rsidRDefault="00C410D8" w:rsidP="009E457C">
            <w:pPr>
              <w:pStyle w:val="NoSpacing"/>
              <w:jc w:val="center"/>
              <w:rPr>
                <w:sz w:val="18"/>
                <w:szCs w:val="20"/>
              </w:rPr>
            </w:pPr>
            <w:r w:rsidRPr="009E457C">
              <w:rPr>
                <w:sz w:val="18"/>
                <w:szCs w:val="20"/>
                <w:lang w:bidi="ru-RU"/>
              </w:rPr>
              <w:t>$81 781–$102 225</w:t>
            </w:r>
          </w:p>
        </w:tc>
        <w:tc>
          <w:tcPr>
            <w:tcW w:w="1516" w:type="dxa"/>
            <w:shd w:val="clear" w:color="auto" w:fill="auto"/>
            <w:noWrap/>
            <w:vAlign w:val="center"/>
            <w:hideMark/>
          </w:tcPr>
          <w:p w14:paraId="3D3AE5DB" w14:textId="77777777" w:rsidR="00C410D8" w:rsidRPr="009E457C" w:rsidRDefault="00C410D8" w:rsidP="009E457C">
            <w:pPr>
              <w:pStyle w:val="NoSpacing"/>
              <w:jc w:val="center"/>
              <w:rPr>
                <w:sz w:val="18"/>
                <w:szCs w:val="20"/>
              </w:rPr>
            </w:pPr>
            <w:r w:rsidRPr="009E457C">
              <w:rPr>
                <w:sz w:val="18"/>
                <w:szCs w:val="20"/>
                <w:lang w:bidi="ru-RU"/>
              </w:rPr>
              <w:t>$102 226–$122 670</w:t>
            </w:r>
          </w:p>
        </w:tc>
        <w:tc>
          <w:tcPr>
            <w:tcW w:w="1516" w:type="dxa"/>
            <w:shd w:val="clear" w:color="auto" w:fill="auto"/>
            <w:noWrap/>
            <w:vAlign w:val="center"/>
            <w:hideMark/>
          </w:tcPr>
          <w:p w14:paraId="3D3AE5DC" w14:textId="77777777" w:rsidR="00C410D8" w:rsidRPr="009E457C" w:rsidRDefault="00C410D8" w:rsidP="009E457C">
            <w:pPr>
              <w:pStyle w:val="NoSpacing"/>
              <w:jc w:val="center"/>
              <w:rPr>
                <w:sz w:val="18"/>
                <w:szCs w:val="20"/>
              </w:rPr>
            </w:pPr>
            <w:r w:rsidRPr="009E457C">
              <w:rPr>
                <w:sz w:val="18"/>
                <w:szCs w:val="20"/>
                <w:lang w:bidi="ru-RU"/>
              </w:rPr>
              <w:t>$122 671–$143 115</w:t>
            </w:r>
          </w:p>
        </w:tc>
        <w:tc>
          <w:tcPr>
            <w:tcW w:w="1516" w:type="dxa"/>
            <w:shd w:val="clear" w:color="auto" w:fill="auto"/>
            <w:noWrap/>
            <w:vAlign w:val="center"/>
            <w:hideMark/>
          </w:tcPr>
          <w:p w14:paraId="3D3AE5DD" w14:textId="77777777" w:rsidR="00C410D8" w:rsidRPr="009E457C" w:rsidRDefault="00C410D8" w:rsidP="009E457C">
            <w:pPr>
              <w:pStyle w:val="NoSpacing"/>
              <w:jc w:val="center"/>
              <w:rPr>
                <w:sz w:val="18"/>
                <w:szCs w:val="20"/>
              </w:rPr>
            </w:pPr>
            <w:r w:rsidRPr="009E457C">
              <w:rPr>
                <w:sz w:val="18"/>
                <w:szCs w:val="20"/>
                <w:lang w:bidi="ru-RU"/>
              </w:rPr>
              <w:t>$143 116–$163 560</w:t>
            </w:r>
          </w:p>
        </w:tc>
        <w:tc>
          <w:tcPr>
            <w:tcW w:w="1516" w:type="dxa"/>
            <w:shd w:val="clear" w:color="auto" w:fill="auto"/>
            <w:noWrap/>
            <w:vAlign w:val="center"/>
            <w:hideMark/>
          </w:tcPr>
          <w:p w14:paraId="3D3AE5DE" w14:textId="77777777" w:rsidR="00C410D8" w:rsidRPr="009E457C" w:rsidRDefault="00C410D8" w:rsidP="009E457C">
            <w:pPr>
              <w:pStyle w:val="NoSpacing"/>
              <w:jc w:val="center"/>
              <w:rPr>
                <w:sz w:val="18"/>
                <w:szCs w:val="20"/>
              </w:rPr>
            </w:pPr>
            <w:r w:rsidRPr="009E457C">
              <w:rPr>
                <w:sz w:val="18"/>
                <w:szCs w:val="20"/>
                <w:lang w:bidi="ru-RU"/>
              </w:rPr>
              <w:t>$163 561–$204 450</w:t>
            </w:r>
          </w:p>
        </w:tc>
      </w:tr>
      <w:tr w:rsidR="00C410D8" w:rsidRPr="009E457C" w14:paraId="3D3AE5E9" w14:textId="77777777" w:rsidTr="009E457C">
        <w:trPr>
          <w:trHeight w:val="782"/>
          <w:jc w:val="center"/>
        </w:trPr>
        <w:tc>
          <w:tcPr>
            <w:tcW w:w="1170" w:type="dxa"/>
            <w:shd w:val="clear" w:color="auto" w:fill="auto"/>
            <w:vAlign w:val="center"/>
          </w:tcPr>
          <w:p w14:paraId="3D3AE5E0" w14:textId="77777777" w:rsidR="00C410D8" w:rsidRPr="009E457C" w:rsidRDefault="00C410D8" w:rsidP="009E457C">
            <w:pPr>
              <w:pStyle w:val="NoSpacing"/>
              <w:jc w:val="center"/>
              <w:rPr>
                <w:sz w:val="18"/>
                <w:szCs w:val="20"/>
              </w:rPr>
            </w:pPr>
            <w:r w:rsidRPr="009E457C">
              <w:rPr>
                <w:sz w:val="18"/>
                <w:szCs w:val="20"/>
                <w:lang w:bidi="ru-RU"/>
              </w:rPr>
              <w:t>Скидка</w:t>
            </w:r>
          </w:p>
        </w:tc>
        <w:tc>
          <w:tcPr>
            <w:tcW w:w="1170" w:type="dxa"/>
            <w:shd w:val="clear" w:color="auto" w:fill="auto"/>
            <w:vAlign w:val="center"/>
          </w:tcPr>
          <w:p w14:paraId="3D3AE5E1" w14:textId="77777777" w:rsidR="00C410D8" w:rsidRPr="009E457C" w:rsidRDefault="00C410D8" w:rsidP="009E457C">
            <w:pPr>
              <w:pStyle w:val="NoSpacing"/>
              <w:jc w:val="center"/>
              <w:rPr>
                <w:sz w:val="18"/>
                <w:szCs w:val="20"/>
              </w:rPr>
            </w:pPr>
            <w:r w:rsidRPr="009E457C">
              <w:rPr>
                <w:sz w:val="18"/>
                <w:szCs w:val="20"/>
                <w:lang w:bidi="ru-RU"/>
              </w:rPr>
              <w:t>100% от суммы задолженности</w:t>
            </w:r>
          </w:p>
        </w:tc>
        <w:tc>
          <w:tcPr>
            <w:tcW w:w="236" w:type="dxa"/>
            <w:tcBorders>
              <w:top w:val="nil"/>
              <w:bottom w:val="nil"/>
            </w:tcBorders>
            <w:shd w:val="clear" w:color="auto" w:fill="auto"/>
            <w:vAlign w:val="center"/>
          </w:tcPr>
          <w:p w14:paraId="3D3AE5E2" w14:textId="77777777" w:rsidR="00C410D8" w:rsidRPr="009E457C" w:rsidRDefault="00C410D8" w:rsidP="003D6086">
            <w:pPr>
              <w:pStyle w:val="NoSpacing"/>
              <w:rPr>
                <w:sz w:val="18"/>
                <w:szCs w:val="20"/>
              </w:rPr>
            </w:pPr>
          </w:p>
        </w:tc>
        <w:tc>
          <w:tcPr>
            <w:tcW w:w="1546" w:type="dxa"/>
            <w:shd w:val="clear" w:color="auto" w:fill="auto"/>
            <w:noWrap/>
            <w:vAlign w:val="center"/>
            <w:hideMark/>
          </w:tcPr>
          <w:p w14:paraId="3D3AE5E3" w14:textId="77777777" w:rsidR="00C410D8" w:rsidRPr="009E457C" w:rsidRDefault="00C410D8" w:rsidP="009E457C">
            <w:pPr>
              <w:pStyle w:val="NoSpacing"/>
              <w:jc w:val="center"/>
              <w:rPr>
                <w:sz w:val="18"/>
                <w:szCs w:val="20"/>
              </w:rPr>
            </w:pPr>
            <w:r w:rsidRPr="009E457C">
              <w:rPr>
                <w:sz w:val="18"/>
                <w:szCs w:val="20"/>
                <w:lang w:bidi="ru-RU"/>
              </w:rPr>
              <w:t>Скидка</w:t>
            </w:r>
          </w:p>
        </w:tc>
        <w:tc>
          <w:tcPr>
            <w:tcW w:w="1516" w:type="dxa"/>
            <w:shd w:val="clear" w:color="auto" w:fill="auto"/>
            <w:noWrap/>
            <w:vAlign w:val="center"/>
            <w:hideMark/>
          </w:tcPr>
          <w:p w14:paraId="3D3AE5E4" w14:textId="77777777" w:rsidR="00C410D8" w:rsidRPr="009E457C" w:rsidRDefault="00C410D8" w:rsidP="009E457C">
            <w:pPr>
              <w:pStyle w:val="NoSpacing"/>
              <w:jc w:val="center"/>
              <w:rPr>
                <w:sz w:val="18"/>
                <w:szCs w:val="20"/>
              </w:rPr>
            </w:pPr>
            <w:r w:rsidRPr="009E457C">
              <w:rPr>
                <w:sz w:val="18"/>
                <w:szCs w:val="20"/>
                <w:lang w:bidi="ru-RU"/>
              </w:rPr>
              <w:t>95% от суммы задолженности</w:t>
            </w:r>
          </w:p>
        </w:tc>
        <w:tc>
          <w:tcPr>
            <w:tcW w:w="1516" w:type="dxa"/>
            <w:shd w:val="clear" w:color="auto" w:fill="auto"/>
            <w:noWrap/>
            <w:vAlign w:val="center"/>
            <w:hideMark/>
          </w:tcPr>
          <w:p w14:paraId="3D3AE5E5" w14:textId="77777777" w:rsidR="00C410D8" w:rsidRPr="009E457C" w:rsidRDefault="00C410D8" w:rsidP="009E457C">
            <w:pPr>
              <w:pStyle w:val="NoSpacing"/>
              <w:jc w:val="center"/>
              <w:rPr>
                <w:sz w:val="18"/>
                <w:szCs w:val="20"/>
              </w:rPr>
            </w:pPr>
            <w:r w:rsidRPr="009E457C">
              <w:rPr>
                <w:sz w:val="18"/>
                <w:szCs w:val="20"/>
                <w:lang w:bidi="ru-RU"/>
              </w:rPr>
              <w:t>90% от суммы задолженности</w:t>
            </w:r>
          </w:p>
        </w:tc>
        <w:tc>
          <w:tcPr>
            <w:tcW w:w="1516" w:type="dxa"/>
            <w:shd w:val="clear" w:color="auto" w:fill="auto"/>
            <w:noWrap/>
            <w:vAlign w:val="center"/>
            <w:hideMark/>
          </w:tcPr>
          <w:p w14:paraId="3D3AE5E6" w14:textId="77777777" w:rsidR="00C410D8" w:rsidRPr="009E457C" w:rsidRDefault="00C410D8" w:rsidP="009E457C">
            <w:pPr>
              <w:pStyle w:val="NoSpacing"/>
              <w:jc w:val="center"/>
              <w:rPr>
                <w:sz w:val="18"/>
                <w:szCs w:val="20"/>
              </w:rPr>
            </w:pPr>
            <w:r w:rsidRPr="009E457C">
              <w:rPr>
                <w:sz w:val="18"/>
                <w:szCs w:val="20"/>
                <w:lang w:bidi="ru-RU"/>
              </w:rPr>
              <w:t>85% от суммы задолженности</w:t>
            </w:r>
          </w:p>
        </w:tc>
        <w:tc>
          <w:tcPr>
            <w:tcW w:w="1516" w:type="dxa"/>
            <w:shd w:val="clear" w:color="auto" w:fill="auto"/>
            <w:noWrap/>
            <w:vAlign w:val="center"/>
            <w:hideMark/>
          </w:tcPr>
          <w:p w14:paraId="3D3AE5E7" w14:textId="77777777" w:rsidR="00C410D8" w:rsidRPr="009E457C" w:rsidRDefault="00C410D8" w:rsidP="009E457C">
            <w:pPr>
              <w:pStyle w:val="NoSpacing"/>
              <w:jc w:val="center"/>
              <w:rPr>
                <w:sz w:val="18"/>
                <w:szCs w:val="20"/>
              </w:rPr>
            </w:pPr>
            <w:r w:rsidRPr="009E457C">
              <w:rPr>
                <w:sz w:val="18"/>
                <w:szCs w:val="20"/>
                <w:lang w:bidi="ru-RU"/>
              </w:rPr>
              <w:t>80% от суммы задолженности</w:t>
            </w:r>
          </w:p>
        </w:tc>
        <w:tc>
          <w:tcPr>
            <w:tcW w:w="1516" w:type="dxa"/>
            <w:shd w:val="clear" w:color="auto" w:fill="auto"/>
            <w:noWrap/>
            <w:vAlign w:val="center"/>
            <w:hideMark/>
          </w:tcPr>
          <w:p w14:paraId="3D3AE5E8" w14:textId="77777777" w:rsidR="00C410D8" w:rsidRPr="009E457C" w:rsidRDefault="00C410D8" w:rsidP="009E457C">
            <w:pPr>
              <w:pStyle w:val="NoSpacing"/>
              <w:jc w:val="center"/>
              <w:rPr>
                <w:sz w:val="18"/>
                <w:szCs w:val="20"/>
              </w:rPr>
            </w:pPr>
            <w:r w:rsidRPr="009E457C">
              <w:rPr>
                <w:sz w:val="18"/>
                <w:szCs w:val="20"/>
                <w:lang w:bidi="ru-RU"/>
              </w:rPr>
              <w:t>75% от суммы задолженности</w:t>
            </w:r>
          </w:p>
        </w:tc>
      </w:tr>
    </w:tbl>
    <w:p w14:paraId="3D3AE5EA" w14:textId="77777777" w:rsidR="00C410D8" w:rsidRPr="00C81933" w:rsidRDefault="00C410D8" w:rsidP="003D6086">
      <w:pPr>
        <w:pStyle w:val="NoSpacing"/>
        <w:rPr>
          <w:sz w:val="8"/>
        </w:rPr>
      </w:pP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064"/>
        <w:gridCol w:w="3211"/>
      </w:tblGrid>
      <w:tr w:rsidR="00C410D8" w:rsidRPr="009E457C" w14:paraId="3D3AE5ED" w14:textId="77777777" w:rsidTr="003D6086">
        <w:trPr>
          <w:trHeight w:val="710"/>
          <w:jc w:val="center"/>
        </w:trPr>
        <w:tc>
          <w:tcPr>
            <w:tcW w:w="11275" w:type="dxa"/>
            <w:gridSpan w:val="2"/>
            <w:shd w:val="clear" w:color="auto" w:fill="auto"/>
            <w:vAlign w:val="center"/>
          </w:tcPr>
          <w:p w14:paraId="3D3AE5EB" w14:textId="77777777" w:rsidR="00C410D8" w:rsidRPr="00C81933" w:rsidRDefault="00C410D8" w:rsidP="003D6086">
            <w:pPr>
              <w:pStyle w:val="NoSpacing"/>
              <w:rPr>
                <w:sz w:val="19"/>
                <w:szCs w:val="19"/>
              </w:rPr>
            </w:pPr>
            <w:r w:rsidRPr="00C81933">
              <w:rPr>
                <w:sz w:val="19"/>
                <w:szCs w:val="19"/>
                <w:lang w:bidi="ru-RU"/>
              </w:rPr>
              <w:t>Пациент, не имеющий возможности оплатить дорогостоящее обследование и лечение</w:t>
            </w:r>
          </w:p>
          <w:p w14:paraId="3D3AE5EC" w14:textId="77777777" w:rsidR="00C410D8" w:rsidRPr="00C81933" w:rsidRDefault="00C410D8" w:rsidP="003D6086">
            <w:pPr>
              <w:pStyle w:val="NoSpacing"/>
              <w:rPr>
                <w:sz w:val="19"/>
                <w:szCs w:val="19"/>
              </w:rPr>
            </w:pPr>
            <w:r w:rsidRPr="00C81933">
              <w:rPr>
                <w:sz w:val="19"/>
                <w:szCs w:val="19"/>
                <w:lang w:bidi="ru-RU"/>
              </w:rPr>
              <w:t>Если годовой доход пациента превышает 500% федерального уровня бедности</w:t>
            </w:r>
          </w:p>
        </w:tc>
      </w:tr>
      <w:tr w:rsidR="00C410D8" w:rsidRPr="009E457C" w14:paraId="3D3AE5F0" w14:textId="77777777" w:rsidTr="003D6086">
        <w:trPr>
          <w:jc w:val="center"/>
        </w:trPr>
        <w:tc>
          <w:tcPr>
            <w:tcW w:w="8064" w:type="dxa"/>
            <w:shd w:val="clear" w:color="auto" w:fill="auto"/>
            <w:vAlign w:val="center"/>
          </w:tcPr>
          <w:p w14:paraId="3D3AE5EE" w14:textId="77777777" w:rsidR="00C410D8" w:rsidRPr="00C81933" w:rsidRDefault="00C410D8" w:rsidP="003D6086">
            <w:pPr>
              <w:pStyle w:val="NoSpacing"/>
              <w:jc w:val="center"/>
              <w:rPr>
                <w:sz w:val="19"/>
                <w:szCs w:val="19"/>
              </w:rPr>
            </w:pPr>
            <w:r w:rsidRPr="00C81933">
              <w:rPr>
                <w:sz w:val="19"/>
                <w:szCs w:val="19"/>
                <w:lang w:bidi="ru-RU"/>
              </w:rPr>
              <w:t>Сумма задолженности</w:t>
            </w:r>
          </w:p>
        </w:tc>
        <w:tc>
          <w:tcPr>
            <w:tcW w:w="3211" w:type="dxa"/>
            <w:shd w:val="clear" w:color="auto" w:fill="auto"/>
            <w:vAlign w:val="center"/>
          </w:tcPr>
          <w:p w14:paraId="3D3AE5EF" w14:textId="77777777" w:rsidR="00C410D8" w:rsidRPr="00C81933" w:rsidRDefault="00C410D8" w:rsidP="003D6086">
            <w:pPr>
              <w:pStyle w:val="NoSpacing"/>
              <w:jc w:val="center"/>
              <w:rPr>
                <w:sz w:val="19"/>
                <w:szCs w:val="19"/>
              </w:rPr>
            </w:pPr>
            <w:r w:rsidRPr="00C81933">
              <w:rPr>
                <w:sz w:val="19"/>
                <w:szCs w:val="19"/>
                <w:lang w:bidi="ru-RU"/>
              </w:rPr>
              <w:t>Скидка</w:t>
            </w:r>
          </w:p>
        </w:tc>
      </w:tr>
      <w:tr w:rsidR="00C410D8" w:rsidRPr="009E457C" w14:paraId="3D3AE5F3" w14:textId="77777777" w:rsidTr="003D6086">
        <w:trPr>
          <w:jc w:val="center"/>
        </w:trPr>
        <w:tc>
          <w:tcPr>
            <w:tcW w:w="8064" w:type="dxa"/>
            <w:shd w:val="clear" w:color="auto" w:fill="auto"/>
            <w:vAlign w:val="bottom"/>
          </w:tcPr>
          <w:p w14:paraId="3D3AE5F1" w14:textId="77777777" w:rsidR="00C410D8" w:rsidRPr="00C81933" w:rsidRDefault="00C410D8" w:rsidP="003D6086">
            <w:pPr>
              <w:pStyle w:val="NoSpacing"/>
              <w:rPr>
                <w:sz w:val="19"/>
                <w:szCs w:val="19"/>
              </w:rPr>
            </w:pPr>
            <w:r w:rsidRPr="00C81933">
              <w:rPr>
                <w:sz w:val="19"/>
                <w:szCs w:val="19"/>
                <w:lang w:bidi="ru-RU"/>
              </w:rPr>
              <w:t>Сумма задолженности не меньше 100% от годового дохода пациента</w:t>
            </w:r>
          </w:p>
        </w:tc>
        <w:tc>
          <w:tcPr>
            <w:tcW w:w="3211" w:type="dxa"/>
            <w:shd w:val="clear" w:color="auto" w:fill="auto"/>
            <w:vAlign w:val="bottom"/>
          </w:tcPr>
          <w:p w14:paraId="3D3AE5F2" w14:textId="77777777" w:rsidR="00C410D8" w:rsidRPr="00C81933" w:rsidRDefault="000532B0" w:rsidP="003D6086">
            <w:pPr>
              <w:pStyle w:val="NoSpacing"/>
              <w:rPr>
                <w:sz w:val="19"/>
                <w:szCs w:val="19"/>
              </w:rPr>
            </w:pPr>
            <w:r w:rsidRPr="00C81933">
              <w:rPr>
                <w:sz w:val="19"/>
                <w:szCs w:val="19"/>
                <w:lang w:bidi="ru-RU"/>
              </w:rPr>
              <w:t>95% от суммы задолженности</w:t>
            </w:r>
          </w:p>
        </w:tc>
      </w:tr>
      <w:tr w:rsidR="00C410D8" w:rsidRPr="009E457C" w14:paraId="3D3AE5F6" w14:textId="77777777" w:rsidTr="003D6086">
        <w:trPr>
          <w:jc w:val="center"/>
        </w:trPr>
        <w:tc>
          <w:tcPr>
            <w:tcW w:w="8064" w:type="dxa"/>
            <w:shd w:val="clear" w:color="auto" w:fill="auto"/>
            <w:vAlign w:val="bottom"/>
          </w:tcPr>
          <w:p w14:paraId="3D3AE5F4" w14:textId="77777777" w:rsidR="00C410D8" w:rsidRPr="00C81933" w:rsidRDefault="00C410D8" w:rsidP="003D6086">
            <w:pPr>
              <w:pStyle w:val="NoSpacing"/>
              <w:rPr>
                <w:sz w:val="19"/>
                <w:szCs w:val="19"/>
              </w:rPr>
            </w:pPr>
            <w:r w:rsidRPr="00C81933">
              <w:rPr>
                <w:sz w:val="19"/>
                <w:szCs w:val="19"/>
                <w:lang w:bidi="ru-RU"/>
              </w:rPr>
              <w:t>Сумма задолженности больше 80% и меньше 100% от годового дохода пациента</w:t>
            </w:r>
          </w:p>
        </w:tc>
        <w:tc>
          <w:tcPr>
            <w:tcW w:w="3211" w:type="dxa"/>
            <w:shd w:val="clear" w:color="auto" w:fill="auto"/>
            <w:vAlign w:val="bottom"/>
          </w:tcPr>
          <w:p w14:paraId="3D3AE5F5" w14:textId="77777777" w:rsidR="00C410D8" w:rsidRPr="00C81933" w:rsidRDefault="000532B0" w:rsidP="003D6086">
            <w:pPr>
              <w:pStyle w:val="NoSpacing"/>
              <w:rPr>
                <w:sz w:val="19"/>
                <w:szCs w:val="19"/>
              </w:rPr>
            </w:pPr>
            <w:r w:rsidRPr="00C81933">
              <w:rPr>
                <w:sz w:val="19"/>
                <w:szCs w:val="19"/>
                <w:lang w:bidi="ru-RU"/>
              </w:rPr>
              <w:t>90% от суммы задолженности</w:t>
            </w:r>
          </w:p>
        </w:tc>
      </w:tr>
      <w:tr w:rsidR="00C410D8" w:rsidRPr="009E457C" w14:paraId="3D3AE5F9" w14:textId="77777777" w:rsidTr="003D6086">
        <w:trPr>
          <w:jc w:val="center"/>
        </w:trPr>
        <w:tc>
          <w:tcPr>
            <w:tcW w:w="8064" w:type="dxa"/>
            <w:shd w:val="clear" w:color="auto" w:fill="auto"/>
            <w:vAlign w:val="bottom"/>
          </w:tcPr>
          <w:p w14:paraId="3D3AE5F7" w14:textId="77777777" w:rsidR="00C410D8" w:rsidRPr="00C81933" w:rsidRDefault="00C410D8" w:rsidP="003D6086">
            <w:pPr>
              <w:pStyle w:val="NoSpacing"/>
              <w:rPr>
                <w:sz w:val="19"/>
                <w:szCs w:val="19"/>
              </w:rPr>
            </w:pPr>
            <w:r w:rsidRPr="00C81933">
              <w:rPr>
                <w:sz w:val="19"/>
                <w:szCs w:val="19"/>
                <w:lang w:bidi="ru-RU"/>
              </w:rPr>
              <w:t>Сумма задолженности больше 60% и меньше 80% от годового дохода пациента</w:t>
            </w:r>
          </w:p>
        </w:tc>
        <w:tc>
          <w:tcPr>
            <w:tcW w:w="3211" w:type="dxa"/>
            <w:shd w:val="clear" w:color="auto" w:fill="auto"/>
            <w:vAlign w:val="bottom"/>
          </w:tcPr>
          <w:p w14:paraId="3D3AE5F8" w14:textId="77777777" w:rsidR="00C410D8" w:rsidRPr="00C81933" w:rsidRDefault="000532B0" w:rsidP="003D6086">
            <w:pPr>
              <w:pStyle w:val="NoSpacing"/>
              <w:rPr>
                <w:sz w:val="19"/>
                <w:szCs w:val="19"/>
              </w:rPr>
            </w:pPr>
            <w:r w:rsidRPr="00C81933">
              <w:rPr>
                <w:sz w:val="19"/>
                <w:szCs w:val="19"/>
                <w:lang w:bidi="ru-RU"/>
              </w:rPr>
              <w:t>85% от суммы задолженности</w:t>
            </w:r>
          </w:p>
        </w:tc>
      </w:tr>
      <w:tr w:rsidR="00C410D8" w:rsidRPr="009E457C" w14:paraId="3D3AE5FC" w14:textId="77777777" w:rsidTr="003D6086">
        <w:trPr>
          <w:jc w:val="center"/>
        </w:trPr>
        <w:tc>
          <w:tcPr>
            <w:tcW w:w="8064" w:type="dxa"/>
            <w:shd w:val="clear" w:color="auto" w:fill="auto"/>
            <w:vAlign w:val="bottom"/>
          </w:tcPr>
          <w:p w14:paraId="3D3AE5FA" w14:textId="77777777" w:rsidR="00C410D8" w:rsidRPr="00C81933" w:rsidRDefault="000532B0" w:rsidP="003D6086">
            <w:pPr>
              <w:pStyle w:val="NoSpacing"/>
              <w:rPr>
                <w:sz w:val="19"/>
                <w:szCs w:val="19"/>
              </w:rPr>
            </w:pPr>
            <w:r w:rsidRPr="00C81933">
              <w:rPr>
                <w:sz w:val="19"/>
                <w:szCs w:val="19"/>
                <w:lang w:bidi="ru-RU"/>
              </w:rPr>
              <w:t>Сумма задолженности больше 40% и меньше 60% от годового дохода пациента</w:t>
            </w:r>
          </w:p>
        </w:tc>
        <w:tc>
          <w:tcPr>
            <w:tcW w:w="3211" w:type="dxa"/>
            <w:shd w:val="clear" w:color="auto" w:fill="auto"/>
            <w:vAlign w:val="bottom"/>
          </w:tcPr>
          <w:p w14:paraId="3D3AE5FB" w14:textId="77777777" w:rsidR="00C410D8" w:rsidRPr="00C81933" w:rsidRDefault="000532B0" w:rsidP="003D6086">
            <w:pPr>
              <w:pStyle w:val="NoSpacing"/>
              <w:rPr>
                <w:sz w:val="19"/>
                <w:szCs w:val="19"/>
              </w:rPr>
            </w:pPr>
            <w:r w:rsidRPr="00C81933">
              <w:rPr>
                <w:sz w:val="19"/>
                <w:szCs w:val="19"/>
                <w:lang w:bidi="ru-RU"/>
              </w:rPr>
              <w:t>80% от суммы задолженности</w:t>
            </w:r>
          </w:p>
        </w:tc>
      </w:tr>
      <w:tr w:rsidR="00C410D8" w:rsidRPr="009E457C" w14:paraId="3D3AE5FF" w14:textId="77777777" w:rsidTr="003D6086">
        <w:trPr>
          <w:jc w:val="center"/>
        </w:trPr>
        <w:tc>
          <w:tcPr>
            <w:tcW w:w="8064" w:type="dxa"/>
            <w:shd w:val="clear" w:color="auto" w:fill="auto"/>
            <w:vAlign w:val="bottom"/>
          </w:tcPr>
          <w:p w14:paraId="3D3AE5FD" w14:textId="77777777" w:rsidR="00C410D8" w:rsidRPr="00C81933" w:rsidRDefault="00C410D8" w:rsidP="003D6086">
            <w:pPr>
              <w:pStyle w:val="NoSpacing"/>
              <w:rPr>
                <w:sz w:val="19"/>
                <w:szCs w:val="19"/>
              </w:rPr>
            </w:pPr>
            <w:r w:rsidRPr="00C81933">
              <w:rPr>
                <w:sz w:val="19"/>
                <w:szCs w:val="19"/>
                <w:lang w:bidi="ru-RU"/>
              </w:rPr>
              <w:t>Сумма задолженности больше 20% и меньше 40% от годового дохода пациента</w:t>
            </w:r>
          </w:p>
        </w:tc>
        <w:tc>
          <w:tcPr>
            <w:tcW w:w="3211" w:type="dxa"/>
            <w:shd w:val="clear" w:color="auto" w:fill="auto"/>
            <w:vAlign w:val="bottom"/>
          </w:tcPr>
          <w:p w14:paraId="3D3AE5FE" w14:textId="77777777" w:rsidR="00C410D8" w:rsidRPr="00C81933" w:rsidRDefault="00C410D8" w:rsidP="003D6086">
            <w:pPr>
              <w:pStyle w:val="NoSpacing"/>
              <w:rPr>
                <w:sz w:val="19"/>
                <w:szCs w:val="19"/>
              </w:rPr>
            </w:pPr>
            <w:r w:rsidRPr="00C81933">
              <w:rPr>
                <w:sz w:val="19"/>
                <w:szCs w:val="19"/>
                <w:lang w:bidi="ru-RU"/>
              </w:rPr>
              <w:t>75% от суммы задолженности</w:t>
            </w:r>
          </w:p>
        </w:tc>
      </w:tr>
    </w:tbl>
    <w:p w14:paraId="3D3AE600" w14:textId="77777777" w:rsidR="003D6086" w:rsidRDefault="003D6086" w:rsidP="005F1901">
      <w:pPr>
        <w:sectPr w:rsidR="003D6086" w:rsidSect="00C81933">
          <w:pgSz w:w="12240" w:h="15840"/>
          <w:pgMar w:top="720" w:right="720" w:bottom="720" w:left="720" w:header="720" w:footer="720" w:gutter="0"/>
          <w:cols w:space="720"/>
          <w:docGrid w:linePitch="360"/>
        </w:sectPr>
      </w:pPr>
    </w:p>
    <w:p w14:paraId="3D3AE601" w14:textId="77777777" w:rsidR="003E5114" w:rsidRPr="00C81933" w:rsidRDefault="001D2DE5" w:rsidP="003D6086">
      <w:pPr>
        <w:pStyle w:val="Title"/>
        <w:rPr>
          <w:b w:val="0"/>
          <w:sz w:val="20"/>
        </w:rPr>
      </w:pPr>
      <w:r w:rsidRPr="00C81933">
        <w:rPr>
          <w:b w:val="0"/>
          <w:sz w:val="20"/>
          <w:lang w:bidi="ru-RU"/>
        </w:rPr>
        <w:t>ПОЛИТИКА ФИНАНСОВОЙ ПОМОЩИ</w:t>
      </w:r>
    </w:p>
    <w:p w14:paraId="3D3AE602" w14:textId="77777777" w:rsidR="003E5114" w:rsidRPr="00C81933" w:rsidRDefault="001D2DE5" w:rsidP="003D6086">
      <w:pPr>
        <w:pStyle w:val="Title"/>
        <w:rPr>
          <w:b w:val="0"/>
          <w:sz w:val="20"/>
        </w:rPr>
      </w:pPr>
      <w:r w:rsidRPr="00C81933">
        <w:rPr>
          <w:b w:val="0"/>
          <w:sz w:val="20"/>
          <w:lang w:bidi="ru-RU"/>
        </w:rPr>
        <w:t>ПРИЛОЖЕНИЕ C</w:t>
      </w:r>
    </w:p>
    <w:p w14:paraId="3D3AE603" w14:textId="77777777" w:rsidR="00DB49D8" w:rsidRPr="00C81933" w:rsidRDefault="001D2DE5" w:rsidP="003D6086">
      <w:pPr>
        <w:pStyle w:val="Title"/>
        <w:rPr>
          <w:b w:val="0"/>
          <w:sz w:val="20"/>
        </w:rPr>
      </w:pPr>
      <w:r w:rsidRPr="00C81933">
        <w:rPr>
          <w:b w:val="0"/>
          <w:sz w:val="20"/>
          <w:lang w:bidi="ru-RU"/>
        </w:rPr>
        <w:t>СПИСОК ЮРИДИЧЕСКИХ ЛИЦ, ПОДПАДАЮЩИХ ПОД ДЕЙСТВИЕ ПОЛИТИКИ</w:t>
      </w:r>
    </w:p>
    <w:p w14:paraId="3D3AE604" w14:textId="77777777" w:rsidR="00DB49D8" w:rsidRPr="00C81933" w:rsidRDefault="001D2DE5" w:rsidP="003D6086">
      <w:pPr>
        <w:pStyle w:val="Heading4"/>
        <w:rPr>
          <w:sz w:val="20"/>
        </w:rPr>
      </w:pPr>
      <w:r w:rsidRPr="00C81933">
        <w:rPr>
          <w:sz w:val="20"/>
          <w:lang w:bidi="ru-RU"/>
        </w:rPr>
        <w:t>Полностью контролируемые больницы Texas Health</w:t>
      </w:r>
    </w:p>
    <w:p w14:paraId="3D3AE605" w14:textId="77777777" w:rsidR="003E5114" w:rsidRPr="00C81933" w:rsidRDefault="003E5114" w:rsidP="003D6086">
      <w:pPr>
        <w:pStyle w:val="NoSpacing"/>
        <w:rPr>
          <w:sz w:val="20"/>
        </w:rPr>
      </w:pPr>
      <w:r w:rsidRPr="00C81933">
        <w:rPr>
          <w:sz w:val="20"/>
          <w:lang w:bidi="ru-RU"/>
        </w:rPr>
        <w:t>Texas Health Arlington Memorial Hospital</w:t>
      </w:r>
    </w:p>
    <w:p w14:paraId="3D3AE606" w14:textId="77777777" w:rsidR="00B7706F" w:rsidRPr="00C81933" w:rsidRDefault="00B7706F" w:rsidP="003D6086">
      <w:pPr>
        <w:pStyle w:val="NoSpacing"/>
        <w:rPr>
          <w:sz w:val="20"/>
        </w:rPr>
      </w:pPr>
      <w:r w:rsidRPr="00C81933">
        <w:rPr>
          <w:sz w:val="20"/>
          <w:lang w:bidi="ru-RU"/>
        </w:rPr>
        <w:t>Texas Health Harris Methodist Hospital Azle</w:t>
      </w:r>
    </w:p>
    <w:p w14:paraId="3D3AE607" w14:textId="77777777" w:rsidR="00B7706F" w:rsidRPr="00C81933" w:rsidRDefault="00B7706F" w:rsidP="003D6086">
      <w:pPr>
        <w:pStyle w:val="NoSpacing"/>
        <w:rPr>
          <w:sz w:val="20"/>
        </w:rPr>
      </w:pPr>
      <w:r w:rsidRPr="00C81933">
        <w:rPr>
          <w:sz w:val="20"/>
          <w:lang w:bidi="ru-RU"/>
        </w:rPr>
        <w:t>Texas Health Harris Methodist Hospital Cleburne</w:t>
      </w:r>
    </w:p>
    <w:p w14:paraId="3D3AE608" w14:textId="77777777" w:rsidR="003E5114" w:rsidRPr="00C81933" w:rsidRDefault="003E5114" w:rsidP="003D6086">
      <w:pPr>
        <w:pStyle w:val="NoSpacing"/>
        <w:rPr>
          <w:sz w:val="20"/>
        </w:rPr>
      </w:pPr>
      <w:r w:rsidRPr="00C81933">
        <w:rPr>
          <w:sz w:val="20"/>
          <w:lang w:bidi="ru-RU"/>
        </w:rPr>
        <w:t>Texas Health Harris Methodist Hospital Fort Worth</w:t>
      </w:r>
    </w:p>
    <w:p w14:paraId="3D3AE609" w14:textId="77777777" w:rsidR="003E5114" w:rsidRPr="00C81933" w:rsidRDefault="003E5114" w:rsidP="003D6086">
      <w:pPr>
        <w:pStyle w:val="NoSpacing"/>
        <w:rPr>
          <w:sz w:val="20"/>
        </w:rPr>
      </w:pPr>
      <w:r w:rsidRPr="00C81933">
        <w:rPr>
          <w:sz w:val="20"/>
          <w:lang w:bidi="ru-RU"/>
        </w:rPr>
        <w:t>Texas Health Harris Methodist Hospital Hurst–Euless Bedford</w:t>
      </w:r>
    </w:p>
    <w:p w14:paraId="3D3AE60A" w14:textId="77777777" w:rsidR="003E5114" w:rsidRPr="00C81933" w:rsidRDefault="003E5114" w:rsidP="003D6086">
      <w:pPr>
        <w:pStyle w:val="NoSpacing"/>
        <w:rPr>
          <w:sz w:val="20"/>
        </w:rPr>
      </w:pPr>
      <w:r w:rsidRPr="00C81933">
        <w:rPr>
          <w:sz w:val="20"/>
          <w:lang w:bidi="ru-RU"/>
        </w:rPr>
        <w:t>Texas Health Harris Methodist Hospital Southwest Fort Worth</w:t>
      </w:r>
    </w:p>
    <w:p w14:paraId="3D3AE60B" w14:textId="77777777" w:rsidR="00B7706F" w:rsidRPr="00C81933" w:rsidRDefault="00B7706F" w:rsidP="003D6086">
      <w:pPr>
        <w:pStyle w:val="NoSpacing"/>
        <w:rPr>
          <w:sz w:val="20"/>
        </w:rPr>
      </w:pPr>
      <w:r w:rsidRPr="00C81933">
        <w:rPr>
          <w:sz w:val="20"/>
          <w:lang w:bidi="ru-RU"/>
        </w:rPr>
        <w:t>Texas Health Harris Methodist Hospital Stephenville</w:t>
      </w:r>
    </w:p>
    <w:p w14:paraId="3D3AE60C" w14:textId="77777777" w:rsidR="00B7706F" w:rsidRPr="00C81933" w:rsidRDefault="00B7706F" w:rsidP="003D6086">
      <w:pPr>
        <w:pStyle w:val="NoSpacing"/>
        <w:rPr>
          <w:sz w:val="20"/>
        </w:rPr>
      </w:pPr>
      <w:r w:rsidRPr="00C81933">
        <w:rPr>
          <w:sz w:val="20"/>
          <w:lang w:bidi="ru-RU"/>
        </w:rPr>
        <w:t>Texas Health Harris Specialty Hospital Fort Worth</w:t>
      </w:r>
    </w:p>
    <w:p w14:paraId="3D3AE60D" w14:textId="77777777" w:rsidR="003E5114" w:rsidRPr="00C81933" w:rsidRDefault="003E5114" w:rsidP="003D6086">
      <w:pPr>
        <w:pStyle w:val="NoSpacing"/>
        <w:rPr>
          <w:sz w:val="20"/>
        </w:rPr>
      </w:pPr>
      <w:r w:rsidRPr="00C81933">
        <w:rPr>
          <w:sz w:val="20"/>
          <w:lang w:bidi="ru-RU"/>
        </w:rPr>
        <w:t>Texas Health Presbyterian Hospital Allen</w:t>
      </w:r>
    </w:p>
    <w:p w14:paraId="3D3AE60E" w14:textId="77777777" w:rsidR="004B089A" w:rsidRPr="00C81933" w:rsidRDefault="001D2DE5" w:rsidP="003D6086">
      <w:pPr>
        <w:pStyle w:val="NoSpacing"/>
        <w:rPr>
          <w:sz w:val="20"/>
        </w:rPr>
      </w:pPr>
      <w:r w:rsidRPr="00C81933">
        <w:rPr>
          <w:sz w:val="20"/>
          <w:lang w:bidi="ru-RU"/>
        </w:rPr>
        <w:t>Texas Health Presbyterian Hospital Alliance</w:t>
      </w:r>
    </w:p>
    <w:p w14:paraId="3D3AE60F" w14:textId="77777777" w:rsidR="004B089A" w:rsidRPr="00C81933" w:rsidRDefault="001D2DE5" w:rsidP="003D6086">
      <w:pPr>
        <w:pStyle w:val="NoSpacing"/>
        <w:rPr>
          <w:sz w:val="20"/>
        </w:rPr>
      </w:pPr>
      <w:r w:rsidRPr="00C81933">
        <w:rPr>
          <w:sz w:val="20"/>
          <w:lang w:bidi="ru-RU"/>
        </w:rPr>
        <w:t>Texas Health Presbyterian Hospital Dallas</w:t>
      </w:r>
    </w:p>
    <w:p w14:paraId="3D3AE610" w14:textId="77777777" w:rsidR="001D2DE5" w:rsidRPr="00C81933" w:rsidRDefault="001D2DE5" w:rsidP="003D6086">
      <w:pPr>
        <w:pStyle w:val="NoSpacing"/>
        <w:rPr>
          <w:sz w:val="20"/>
        </w:rPr>
      </w:pPr>
      <w:r w:rsidRPr="00C81933">
        <w:rPr>
          <w:sz w:val="20"/>
          <w:lang w:bidi="ru-RU"/>
        </w:rPr>
        <w:t>Texas Health Presbyterian Hospital Denton</w:t>
      </w:r>
    </w:p>
    <w:p w14:paraId="3D3AE611" w14:textId="77777777" w:rsidR="001D2DE5" w:rsidRPr="00C81933" w:rsidRDefault="001D2DE5" w:rsidP="003D6086">
      <w:pPr>
        <w:pStyle w:val="NoSpacing"/>
        <w:rPr>
          <w:sz w:val="20"/>
        </w:rPr>
      </w:pPr>
      <w:r w:rsidRPr="00C81933">
        <w:rPr>
          <w:sz w:val="20"/>
          <w:lang w:bidi="ru-RU"/>
        </w:rPr>
        <w:t>Texas Health Presbyterian Hospital Kaufman</w:t>
      </w:r>
    </w:p>
    <w:p w14:paraId="3D3AE612" w14:textId="77777777" w:rsidR="00DB49D8" w:rsidRPr="00C81933" w:rsidRDefault="001D2DE5" w:rsidP="003D6086">
      <w:pPr>
        <w:pStyle w:val="NoSpacing"/>
        <w:rPr>
          <w:sz w:val="20"/>
        </w:rPr>
      </w:pPr>
      <w:r w:rsidRPr="00C81933">
        <w:rPr>
          <w:sz w:val="20"/>
          <w:lang w:bidi="ru-RU"/>
        </w:rPr>
        <w:t>Texas Health Presbyterian Hospital Plano</w:t>
      </w:r>
    </w:p>
    <w:p w14:paraId="3D3AE613" w14:textId="77777777" w:rsidR="00DB49D8" w:rsidRPr="00C81933" w:rsidRDefault="001D2DE5" w:rsidP="003D6086">
      <w:pPr>
        <w:pStyle w:val="Heading4"/>
        <w:rPr>
          <w:sz w:val="20"/>
        </w:rPr>
      </w:pPr>
      <w:r w:rsidRPr="00C81933">
        <w:rPr>
          <w:sz w:val="20"/>
          <w:lang w:bidi="ru-RU"/>
        </w:rPr>
        <w:t>Аффилированные совместные предприятия Texas Health</w:t>
      </w:r>
    </w:p>
    <w:p w14:paraId="3D3AE614" w14:textId="77777777" w:rsidR="001D2DE5" w:rsidRPr="00C81933" w:rsidRDefault="00BA5579" w:rsidP="003D6086">
      <w:pPr>
        <w:pStyle w:val="NoSpacing"/>
        <w:rPr>
          <w:sz w:val="20"/>
        </w:rPr>
      </w:pPr>
      <w:r w:rsidRPr="00C81933">
        <w:rPr>
          <w:sz w:val="20"/>
          <w:lang w:bidi="ru-RU"/>
        </w:rPr>
        <w:t>Physicians Medical Center, LLC (осуществляющее свою деятельность под наименованием Texas Health Center for Diagnostics &amp; Surgery Plano)</w:t>
      </w:r>
    </w:p>
    <w:p w14:paraId="3D3AE615" w14:textId="77777777" w:rsidR="001D2DE5" w:rsidRPr="00C81933" w:rsidRDefault="00BA5579" w:rsidP="003D6086">
      <w:pPr>
        <w:pStyle w:val="NoSpacing"/>
        <w:rPr>
          <w:sz w:val="20"/>
        </w:rPr>
      </w:pPr>
      <w:r w:rsidRPr="00C81933">
        <w:rPr>
          <w:sz w:val="20"/>
          <w:lang w:bidi="ru-RU"/>
        </w:rPr>
        <w:t>Southlake Specialty Hospital, LLC (осуществляющее свою деятельность под наименованием Texas Heath Harris Methodist Hospital Southlake)</w:t>
      </w:r>
    </w:p>
    <w:p w14:paraId="3D3AE616" w14:textId="77777777" w:rsidR="004B089A" w:rsidRPr="00C81933" w:rsidRDefault="00BA5579" w:rsidP="003D6086">
      <w:pPr>
        <w:pStyle w:val="NoSpacing"/>
        <w:rPr>
          <w:sz w:val="20"/>
        </w:rPr>
      </w:pPr>
      <w:r w:rsidRPr="00C81933">
        <w:rPr>
          <w:sz w:val="20"/>
          <w:lang w:bidi="ru-RU"/>
        </w:rPr>
        <w:t>Texas Institute for Surgery LLP, (осуществляющее свою деятельность под наименованием Texas Institute for Surgery at Texas Health Presbyterian Dallas)</w:t>
      </w:r>
    </w:p>
    <w:p w14:paraId="3D3AE617" w14:textId="77777777" w:rsidR="001D2DE5" w:rsidRPr="00C81933" w:rsidRDefault="008748E8" w:rsidP="003D6086">
      <w:pPr>
        <w:pStyle w:val="NoSpacing"/>
        <w:rPr>
          <w:sz w:val="20"/>
        </w:rPr>
      </w:pPr>
      <w:r w:rsidRPr="00C81933">
        <w:rPr>
          <w:sz w:val="20"/>
          <w:lang w:bidi="ru-RU"/>
        </w:rPr>
        <w:t>Rockwall Regional Hospital, LLC (осуществляющее свою деятельность под наименованием Texas Health Presbyterian Hospital Rockwall)</w:t>
      </w:r>
    </w:p>
    <w:p w14:paraId="3D3AE618" w14:textId="77777777" w:rsidR="000F375A" w:rsidRPr="00C81933" w:rsidRDefault="000F375A" w:rsidP="003D6086">
      <w:pPr>
        <w:pStyle w:val="NoSpacing"/>
        <w:rPr>
          <w:sz w:val="20"/>
        </w:rPr>
      </w:pPr>
      <w:r w:rsidRPr="00C81933">
        <w:rPr>
          <w:sz w:val="20"/>
          <w:lang w:bidi="ru-RU"/>
        </w:rPr>
        <w:t>Flower Mound Hospital Partners, LLC (осуществляющее свою деятельность под наименованием Texas Health Presbyterian Hospital Flower Mound</w:t>
      </w:r>
    </w:p>
    <w:p w14:paraId="3D3AE619" w14:textId="77777777" w:rsidR="004B089A" w:rsidRPr="00C81933" w:rsidRDefault="000F375A" w:rsidP="003D6086">
      <w:pPr>
        <w:pStyle w:val="NoSpacing"/>
        <w:rPr>
          <w:sz w:val="20"/>
        </w:rPr>
      </w:pPr>
      <w:r w:rsidRPr="00C81933">
        <w:rPr>
          <w:sz w:val="20"/>
          <w:lang w:bidi="ru-RU"/>
        </w:rPr>
        <w:t>USMD Hospital at Arlington, LP</w:t>
      </w:r>
    </w:p>
    <w:p w14:paraId="3D3AE61A" w14:textId="77777777" w:rsidR="004B089A" w:rsidRPr="00C81933" w:rsidRDefault="000F375A" w:rsidP="003D6086">
      <w:pPr>
        <w:pStyle w:val="NoSpacing"/>
        <w:rPr>
          <w:sz w:val="20"/>
        </w:rPr>
      </w:pPr>
      <w:r w:rsidRPr="00C81933">
        <w:rPr>
          <w:sz w:val="20"/>
          <w:lang w:bidi="ru-RU"/>
        </w:rPr>
        <w:t>USMD Hospital at Fort Worth, LP</w:t>
      </w:r>
    </w:p>
    <w:p w14:paraId="3D3AE61B" w14:textId="77777777" w:rsidR="00DB49D8" w:rsidRPr="00C81933" w:rsidRDefault="00FF76DF" w:rsidP="003D6086">
      <w:pPr>
        <w:pStyle w:val="NoSpacing"/>
        <w:rPr>
          <w:sz w:val="20"/>
        </w:rPr>
      </w:pPr>
      <w:r w:rsidRPr="00C81933">
        <w:rPr>
          <w:sz w:val="20"/>
          <w:lang w:bidi="ru-RU"/>
        </w:rPr>
        <w:t>AMH Cath Labs, LLC (осуществляющее свою деятельность под наименованием Texas Health Heart &amp; Vascular Hospital Arlington)</w:t>
      </w:r>
    </w:p>
    <w:p w14:paraId="3D3AE61C" w14:textId="77777777" w:rsidR="00DB49D8" w:rsidRDefault="00E659CC" w:rsidP="005F1901">
      <w:r w:rsidRPr="00C81933">
        <w:rPr>
          <w:sz w:val="20"/>
          <w:lang w:bidi="ru-RU"/>
        </w:rPr>
        <w:t>Если услуги не были включены в больничный счет от одного из вышеперечисленных юридических лиц, на такие услуги действие политики финансовой помощи Texas Health не распространяется.</w:t>
      </w:r>
    </w:p>
    <w:p w14:paraId="3D3AE61D" w14:textId="77777777" w:rsidR="00AC46A6" w:rsidRDefault="00AC46A6" w:rsidP="005F1901">
      <w:pPr>
        <w:sectPr w:rsidR="00AC46A6" w:rsidSect="00C81933">
          <w:pgSz w:w="12240" w:h="15840"/>
          <w:pgMar w:top="720" w:right="720" w:bottom="720" w:left="720" w:header="720" w:footer="720" w:gutter="0"/>
          <w:cols w:space="720"/>
          <w:docGrid w:linePitch="360"/>
        </w:sectPr>
      </w:pPr>
    </w:p>
    <w:p w14:paraId="3D3AE61E" w14:textId="77777777" w:rsidR="00DB49D8" w:rsidRPr="00C81933" w:rsidRDefault="00EB3840" w:rsidP="00AC46A6">
      <w:pPr>
        <w:pStyle w:val="Title"/>
        <w:rPr>
          <w:b w:val="0"/>
        </w:rPr>
      </w:pPr>
      <w:r w:rsidRPr="00C81933">
        <w:rPr>
          <w:b w:val="0"/>
          <w:lang w:bidi="ru-RU"/>
        </w:rPr>
        <w:t>УЧРЕЖДЕНИЯ/УСЛУГИ, НА КОТОРЫЕ НЕ РАСПРОСТРАНЯЕТСЯ ДЕЙСТВИЕ ПОЛИТИКИ</w:t>
      </w:r>
    </w:p>
    <w:p w14:paraId="3D3AE61F" w14:textId="77777777" w:rsidR="00DB49D8" w:rsidRPr="00C81933" w:rsidRDefault="005D605B" w:rsidP="00C81933">
      <w:pPr>
        <w:spacing w:before="240"/>
        <w:rPr>
          <w:sz w:val="20"/>
        </w:rPr>
      </w:pPr>
      <w:r w:rsidRPr="00C81933">
        <w:rPr>
          <w:sz w:val="20"/>
          <w:lang w:bidi="ru-RU"/>
        </w:rPr>
        <w:t>Некоторые услуги специалистов узкопрофильной специализации часто предоставляются вместе с услугами больницы согласно распоряжениям лечащих врачей. Пациенту может быть выставлен отдельный счет за услуги, предоставляемые его лечащим врачом, врачом отделения неотложной помощи, радиологами, врачами стационара, патологоанатомами, кардиологами, неонатологами, анестезиологами и/или другими специалистами за пределами больницы.</w:t>
      </w:r>
    </w:p>
    <w:p w14:paraId="3D3AE620" w14:textId="77777777" w:rsidR="004B089A" w:rsidRPr="00C81933" w:rsidRDefault="006A1082" w:rsidP="00C81933">
      <w:pPr>
        <w:spacing w:before="200"/>
        <w:rPr>
          <w:sz w:val="20"/>
        </w:rPr>
      </w:pPr>
      <w:r w:rsidRPr="00C81933">
        <w:rPr>
          <w:sz w:val="20"/>
          <w:lang w:bidi="ru-RU"/>
        </w:rPr>
        <w:t>Политика финансовой помощи Texas Health распространяется только на услуги, предоставляемые юридическими лицами, перечисленными в данном приложении, которые приняли данную политику. Пациенты могут получать дополнительные счета за медицинские услуги от других специалистов, на которые не распространяется действие данной политики. Существует большое количество учреждений, предоставляющих неотложную или необходимую медицинскую помощь, но не подпадающих под действие данной политики, и оно часто меняется. Поэтому перечисленные ниже учреждения и/или специалисты были определены как учреждения и/или специалисты, на которые не распространяются условия данной политики финансовой помощи. Более исчерпывающий перечень учреждений, которые не подпадают под действие данной политики, можно получить бесплатно либо в электронной, либо в бумажной форме, позвонив по номеру 1 – 682 – 236 – 7959.</w:t>
      </w:r>
    </w:p>
    <w:p w14:paraId="3D3AE621" w14:textId="77777777" w:rsidR="004B089A" w:rsidRPr="00C81933" w:rsidRDefault="00D02776" w:rsidP="00C81933">
      <w:pPr>
        <w:spacing w:before="240" w:after="240"/>
        <w:rPr>
          <w:sz w:val="20"/>
        </w:rPr>
      </w:pPr>
      <w:r w:rsidRPr="00C81933">
        <w:rPr>
          <w:sz w:val="20"/>
          <w:lang w:bidi="ru-RU"/>
        </w:rPr>
        <w:t>В список учреждений и специалистов, на которые не распространяется действие данной политики, входят следующие категории:</w:t>
      </w:r>
    </w:p>
    <w:p w14:paraId="3D3AE622" w14:textId="77777777" w:rsidR="004B089A" w:rsidRPr="00C81933" w:rsidRDefault="001741F9" w:rsidP="00AC46A6">
      <w:pPr>
        <w:pStyle w:val="NoSpacing"/>
        <w:rPr>
          <w:sz w:val="20"/>
        </w:rPr>
      </w:pPr>
      <w:r w:rsidRPr="00C81933">
        <w:rPr>
          <w:sz w:val="20"/>
          <w:lang w:bidi="ru-RU"/>
        </w:rPr>
        <w:t>Расходы на оплату скорой помощи</w:t>
      </w:r>
    </w:p>
    <w:p w14:paraId="3D3AE623" w14:textId="77777777" w:rsidR="001741F9" w:rsidRPr="00C81933" w:rsidRDefault="001741F9" w:rsidP="00AC46A6">
      <w:pPr>
        <w:pStyle w:val="NoSpacing"/>
        <w:rPr>
          <w:sz w:val="20"/>
        </w:rPr>
      </w:pPr>
      <w:r w:rsidRPr="00C81933">
        <w:rPr>
          <w:sz w:val="20"/>
          <w:lang w:bidi="ru-RU"/>
        </w:rPr>
        <w:t>Центры амбулаторной хирургии</w:t>
      </w:r>
    </w:p>
    <w:p w14:paraId="3D3AE624" w14:textId="77777777" w:rsidR="001741F9" w:rsidRPr="00C81933" w:rsidRDefault="001741F9" w:rsidP="00AC46A6">
      <w:pPr>
        <w:pStyle w:val="NoSpacing"/>
        <w:rPr>
          <w:sz w:val="20"/>
        </w:rPr>
      </w:pPr>
      <w:r w:rsidRPr="00C81933">
        <w:rPr>
          <w:sz w:val="20"/>
          <w:lang w:bidi="ru-RU"/>
        </w:rPr>
        <w:t>Анестезиолог</w:t>
      </w:r>
    </w:p>
    <w:p w14:paraId="3D3AE625" w14:textId="77777777" w:rsidR="004B089A" w:rsidRPr="00C81933" w:rsidRDefault="00D02776" w:rsidP="00AC46A6">
      <w:pPr>
        <w:pStyle w:val="NoSpacing"/>
        <w:rPr>
          <w:sz w:val="20"/>
        </w:rPr>
      </w:pPr>
      <w:r w:rsidRPr="00C81933">
        <w:rPr>
          <w:sz w:val="20"/>
          <w:lang w:bidi="ru-RU"/>
        </w:rPr>
        <w:t>Лечащий врач</w:t>
      </w:r>
    </w:p>
    <w:p w14:paraId="3D3AE626" w14:textId="77777777" w:rsidR="001741F9" w:rsidRPr="00C81933" w:rsidRDefault="001741F9" w:rsidP="00AC46A6">
      <w:pPr>
        <w:pStyle w:val="NoSpacing"/>
        <w:rPr>
          <w:sz w:val="20"/>
        </w:rPr>
      </w:pPr>
      <w:r w:rsidRPr="00C81933">
        <w:rPr>
          <w:sz w:val="20"/>
          <w:lang w:bidi="ru-RU"/>
        </w:rPr>
        <w:t>Врач-кардиолог</w:t>
      </w:r>
    </w:p>
    <w:p w14:paraId="3D3AE627" w14:textId="77777777" w:rsidR="001741F9" w:rsidRPr="00C81933" w:rsidRDefault="001741F9" w:rsidP="00AC46A6">
      <w:pPr>
        <w:pStyle w:val="NoSpacing"/>
        <w:rPr>
          <w:sz w:val="20"/>
        </w:rPr>
      </w:pPr>
      <w:r w:rsidRPr="00C81933">
        <w:rPr>
          <w:sz w:val="20"/>
          <w:lang w:bidi="ru-RU"/>
        </w:rPr>
        <w:t>Центры гемодиализа</w:t>
      </w:r>
    </w:p>
    <w:p w14:paraId="3D3AE628" w14:textId="77777777" w:rsidR="001741F9" w:rsidRPr="00C81933" w:rsidRDefault="001741F9" w:rsidP="00AC46A6">
      <w:pPr>
        <w:pStyle w:val="NoSpacing"/>
        <w:rPr>
          <w:sz w:val="20"/>
        </w:rPr>
      </w:pPr>
      <w:r w:rsidRPr="00C81933">
        <w:rPr>
          <w:sz w:val="20"/>
          <w:lang w:bidi="ru-RU"/>
        </w:rPr>
        <w:t>Медицинское оборудование длительного пользования (DME)</w:t>
      </w:r>
    </w:p>
    <w:p w14:paraId="3D3AE629" w14:textId="77777777" w:rsidR="001741F9" w:rsidRPr="00C81933" w:rsidRDefault="00F920ED" w:rsidP="00AC46A6">
      <w:pPr>
        <w:pStyle w:val="NoSpacing"/>
        <w:rPr>
          <w:sz w:val="20"/>
        </w:rPr>
      </w:pPr>
      <w:r w:rsidRPr="00C81933">
        <w:rPr>
          <w:sz w:val="20"/>
          <w:lang w:bidi="ru-RU"/>
        </w:rPr>
        <w:t>Врач скорой помощи</w:t>
      </w:r>
    </w:p>
    <w:p w14:paraId="3D3AE62A" w14:textId="77777777" w:rsidR="001741F9" w:rsidRPr="00C81933" w:rsidRDefault="001741F9" w:rsidP="00AC46A6">
      <w:pPr>
        <w:pStyle w:val="NoSpacing"/>
        <w:rPr>
          <w:sz w:val="20"/>
        </w:rPr>
      </w:pPr>
      <w:r w:rsidRPr="00C81933">
        <w:rPr>
          <w:sz w:val="20"/>
          <w:lang w:bidi="ru-RU"/>
        </w:rPr>
        <w:t>Медицинские услуги на дому</w:t>
      </w:r>
    </w:p>
    <w:p w14:paraId="3D3AE62B" w14:textId="77777777" w:rsidR="001741F9" w:rsidRPr="00C81933" w:rsidRDefault="001741F9" w:rsidP="00AC46A6">
      <w:pPr>
        <w:pStyle w:val="NoSpacing"/>
        <w:rPr>
          <w:sz w:val="20"/>
        </w:rPr>
      </w:pPr>
      <w:r w:rsidRPr="00C81933">
        <w:rPr>
          <w:sz w:val="20"/>
          <w:lang w:bidi="ru-RU"/>
        </w:rPr>
        <w:t>Врачи стационара</w:t>
      </w:r>
    </w:p>
    <w:p w14:paraId="3D3AE62C" w14:textId="77777777" w:rsidR="001741F9" w:rsidRPr="00C81933" w:rsidRDefault="001741F9" w:rsidP="00AC46A6">
      <w:pPr>
        <w:pStyle w:val="NoSpacing"/>
        <w:rPr>
          <w:sz w:val="20"/>
        </w:rPr>
      </w:pPr>
      <w:r w:rsidRPr="00C81933">
        <w:rPr>
          <w:sz w:val="20"/>
          <w:lang w:bidi="ru-RU"/>
        </w:rPr>
        <w:t>Неонатолог</w:t>
      </w:r>
    </w:p>
    <w:p w14:paraId="3D3AE62D" w14:textId="77777777" w:rsidR="002F0BC7" w:rsidRPr="00C81933" w:rsidRDefault="002F0BC7" w:rsidP="00AC46A6">
      <w:pPr>
        <w:pStyle w:val="NoSpacing"/>
        <w:rPr>
          <w:sz w:val="20"/>
        </w:rPr>
      </w:pPr>
      <w:r w:rsidRPr="00C81933">
        <w:rPr>
          <w:sz w:val="20"/>
          <w:lang w:bidi="ru-RU"/>
        </w:rPr>
        <w:t>Прочие профессиональные медицинские специалисты</w:t>
      </w:r>
    </w:p>
    <w:p w14:paraId="3D3AE62E" w14:textId="77777777" w:rsidR="00EB3840" w:rsidRPr="00C81933" w:rsidRDefault="001741F9" w:rsidP="00AC46A6">
      <w:pPr>
        <w:pStyle w:val="NoSpacing"/>
        <w:rPr>
          <w:sz w:val="20"/>
        </w:rPr>
      </w:pPr>
      <w:r w:rsidRPr="00C81933">
        <w:rPr>
          <w:sz w:val="20"/>
          <w:lang w:bidi="ru-RU"/>
        </w:rPr>
        <w:t>Сторонняя лаборатория</w:t>
      </w:r>
    </w:p>
    <w:p w14:paraId="3D3AE62F" w14:textId="77777777" w:rsidR="00EB3840" w:rsidRPr="00C81933" w:rsidRDefault="00EB3840" w:rsidP="00AC46A6">
      <w:pPr>
        <w:pStyle w:val="NoSpacing"/>
        <w:rPr>
          <w:sz w:val="20"/>
        </w:rPr>
      </w:pPr>
      <w:r w:rsidRPr="00C81933">
        <w:rPr>
          <w:sz w:val="20"/>
          <w:lang w:bidi="ru-RU"/>
        </w:rPr>
        <w:t>Патологоанатом</w:t>
      </w:r>
    </w:p>
    <w:p w14:paraId="3D3AE630" w14:textId="77777777" w:rsidR="002F0BC7" w:rsidRPr="00C81933" w:rsidRDefault="002F0BC7" w:rsidP="00AC46A6">
      <w:pPr>
        <w:pStyle w:val="NoSpacing"/>
        <w:rPr>
          <w:sz w:val="20"/>
        </w:rPr>
      </w:pPr>
      <w:r w:rsidRPr="00C81933">
        <w:rPr>
          <w:sz w:val="20"/>
          <w:lang w:bidi="ru-RU"/>
        </w:rPr>
        <w:t>Терапевты</w:t>
      </w:r>
    </w:p>
    <w:p w14:paraId="3D3AE631" w14:textId="77777777" w:rsidR="00DB49D8" w:rsidRPr="00C81933" w:rsidRDefault="00F920ED" w:rsidP="00AC46A6">
      <w:pPr>
        <w:pStyle w:val="NoSpacing"/>
        <w:rPr>
          <w:sz w:val="20"/>
        </w:rPr>
      </w:pPr>
      <w:r w:rsidRPr="00C81933">
        <w:rPr>
          <w:sz w:val="20"/>
          <w:lang w:bidi="ru-RU"/>
        </w:rPr>
        <w:t>Рентгенолог</w:t>
      </w:r>
    </w:p>
    <w:p w14:paraId="3D3AE632" w14:textId="77777777" w:rsidR="00AC46A6" w:rsidRDefault="00AC46A6" w:rsidP="005F1901">
      <w:pPr>
        <w:sectPr w:rsidR="00AC46A6" w:rsidSect="00AC46A6">
          <w:pgSz w:w="12240" w:h="15840"/>
          <w:pgMar w:top="720" w:right="720" w:bottom="1440" w:left="720" w:header="720" w:footer="720" w:gutter="0"/>
          <w:cols w:space="720"/>
          <w:docGrid w:linePitch="360"/>
        </w:sectPr>
      </w:pPr>
    </w:p>
    <w:p w14:paraId="3D3AE633" w14:textId="77777777" w:rsidR="00035473" w:rsidRPr="005C7A45" w:rsidRDefault="00035473" w:rsidP="00AC46A6">
      <w:pPr>
        <w:pStyle w:val="Title"/>
        <w:rPr>
          <w:b w:val="0"/>
        </w:rPr>
      </w:pPr>
      <w:r w:rsidRPr="005C7A45">
        <w:rPr>
          <w:b w:val="0"/>
          <w:lang w:bidi="ru-RU"/>
        </w:rPr>
        <w:t>ПРИЛОЖЕНИЕ D</w:t>
      </w:r>
    </w:p>
    <w:p w14:paraId="3D3AE634" w14:textId="77777777" w:rsidR="00DB49D8" w:rsidRPr="005C7A45" w:rsidRDefault="00E603A3" w:rsidP="00AC46A6">
      <w:pPr>
        <w:pStyle w:val="Title"/>
        <w:rPr>
          <w:b w:val="0"/>
        </w:rPr>
      </w:pPr>
      <w:r w:rsidRPr="005C7A45">
        <w:rPr>
          <w:b w:val="0"/>
          <w:lang w:bidi="ru-RU"/>
        </w:rPr>
        <w:t>РАСЧЕТ AGB</w:t>
      </w:r>
    </w:p>
    <w:p w14:paraId="3D3AE635" w14:textId="77777777" w:rsidR="00AC46A6" w:rsidRPr="00AC46A6" w:rsidRDefault="00AC46A6" w:rsidP="00AC46A6">
      <w:pPr>
        <w:pStyle w:val="NoSpacing"/>
        <w:rPr>
          <w:rFonts w:eastAsia="Courier New"/>
          <w:lang w:bidi="ar-SA"/>
        </w:rPr>
      </w:pPr>
    </w:p>
    <w:tbl>
      <w:tblPr>
        <w:tblOverlap w:val="never"/>
        <w:tblW w:w="11085" w:type="dxa"/>
        <w:jc w:val="center"/>
        <w:tblLayout w:type="fixed"/>
        <w:tblCellMar>
          <w:left w:w="115" w:type="dxa"/>
          <w:right w:w="115" w:type="dxa"/>
        </w:tblCellMar>
        <w:tblLook w:val="0000" w:firstRow="0" w:lastRow="0" w:firstColumn="0" w:lastColumn="0" w:noHBand="0" w:noVBand="0"/>
      </w:tblPr>
      <w:tblGrid>
        <w:gridCol w:w="4763"/>
        <w:gridCol w:w="870"/>
        <w:gridCol w:w="944"/>
        <w:gridCol w:w="226"/>
        <w:gridCol w:w="1588"/>
        <w:gridCol w:w="1345"/>
        <w:gridCol w:w="1349"/>
      </w:tblGrid>
      <w:tr w:rsidR="00AC46A6" w:rsidRPr="00AC46A6" w14:paraId="3D3AE637" w14:textId="77777777" w:rsidTr="00AC46A6">
        <w:trPr>
          <w:trHeight w:val="211"/>
          <w:jc w:val="center"/>
        </w:trPr>
        <w:tc>
          <w:tcPr>
            <w:tcW w:w="11085" w:type="dxa"/>
            <w:gridSpan w:val="7"/>
            <w:shd w:val="clear" w:color="auto" w:fill="FFFFFF"/>
            <w:vAlign w:val="center"/>
          </w:tcPr>
          <w:p w14:paraId="3D3AE636" w14:textId="77777777" w:rsidR="00AC46A6" w:rsidRPr="00AC46A6" w:rsidRDefault="00AC46A6" w:rsidP="00AC46A6">
            <w:pPr>
              <w:pStyle w:val="Title"/>
              <w:rPr>
                <w:rFonts w:eastAsia="Courier New"/>
                <w:lang w:bidi="ar-SA"/>
              </w:rPr>
            </w:pPr>
            <w:bookmarkStart w:id="1" w:name="bookmark9"/>
            <w:r w:rsidRPr="00AC46A6">
              <w:rPr>
                <w:rFonts w:eastAsia="Courier New"/>
                <w:lang w:bidi="ru-RU"/>
              </w:rPr>
              <w:t>Расчет AGB Texas Health — 2014</w:t>
            </w:r>
            <w:bookmarkEnd w:id="1"/>
          </w:p>
        </w:tc>
      </w:tr>
      <w:tr w:rsidR="00AC46A6" w:rsidRPr="00AC46A6" w14:paraId="3D3AE63D" w14:textId="77777777" w:rsidTr="00C81933">
        <w:trPr>
          <w:jc w:val="center"/>
        </w:trPr>
        <w:tc>
          <w:tcPr>
            <w:tcW w:w="4763" w:type="dxa"/>
            <w:shd w:val="clear" w:color="auto" w:fill="FFFFFF"/>
            <w:vAlign w:val="bottom"/>
          </w:tcPr>
          <w:p w14:paraId="3D3AE638" w14:textId="77777777" w:rsidR="00AC46A6" w:rsidRPr="00C81933" w:rsidRDefault="00AC46A6" w:rsidP="00AC46A6">
            <w:pPr>
              <w:pStyle w:val="NoSpacing"/>
              <w:rPr>
                <w:rFonts w:eastAsia="Courier New"/>
                <w:b/>
                <w:sz w:val="16"/>
                <w:szCs w:val="16"/>
                <w:lang w:bidi="ar-SA"/>
              </w:rPr>
            </w:pPr>
            <w:r w:rsidRPr="00C81933">
              <w:rPr>
                <w:rFonts w:eastAsia="Courier New"/>
                <w:b/>
                <w:sz w:val="16"/>
                <w:szCs w:val="16"/>
                <w:lang w:bidi="ru-RU"/>
              </w:rPr>
              <w:t>Больница/медицинское учреждение</w:t>
            </w:r>
          </w:p>
        </w:tc>
        <w:tc>
          <w:tcPr>
            <w:tcW w:w="2040" w:type="dxa"/>
            <w:gridSpan w:val="3"/>
            <w:shd w:val="clear" w:color="auto" w:fill="FFFFFF"/>
            <w:vAlign w:val="bottom"/>
          </w:tcPr>
          <w:p w14:paraId="3D3AE639" w14:textId="77777777" w:rsidR="00AC46A6" w:rsidRPr="00C81933" w:rsidRDefault="00AC46A6" w:rsidP="00AC46A6">
            <w:pPr>
              <w:pStyle w:val="NoSpacing"/>
              <w:jc w:val="center"/>
              <w:rPr>
                <w:rFonts w:eastAsia="Courier New"/>
                <w:b/>
                <w:bCs/>
                <w:sz w:val="16"/>
                <w:szCs w:val="16"/>
                <w:lang w:bidi="ar-SA"/>
              </w:rPr>
            </w:pPr>
            <w:r w:rsidRPr="00C81933">
              <w:rPr>
                <w:rFonts w:eastAsia="Courier New"/>
                <w:b/>
                <w:sz w:val="16"/>
                <w:szCs w:val="16"/>
                <w:lang w:bidi="ru-RU"/>
              </w:rPr>
              <w:t>Валовые расходы*</w:t>
            </w:r>
          </w:p>
        </w:tc>
        <w:tc>
          <w:tcPr>
            <w:tcW w:w="1588" w:type="dxa"/>
            <w:shd w:val="clear" w:color="auto" w:fill="FFFFFF"/>
            <w:vAlign w:val="bottom"/>
          </w:tcPr>
          <w:p w14:paraId="3D3AE63A" w14:textId="77777777" w:rsidR="00AC46A6" w:rsidRPr="00C81933" w:rsidRDefault="00AC46A6" w:rsidP="00AC46A6">
            <w:pPr>
              <w:pStyle w:val="NoSpacing"/>
              <w:jc w:val="center"/>
              <w:rPr>
                <w:rFonts w:eastAsia="Courier New"/>
                <w:b/>
                <w:bCs/>
                <w:sz w:val="16"/>
                <w:szCs w:val="16"/>
                <w:lang w:bidi="ar-SA"/>
              </w:rPr>
            </w:pPr>
            <w:r w:rsidRPr="00C81933">
              <w:rPr>
                <w:rFonts w:eastAsia="Courier New"/>
                <w:b/>
                <w:sz w:val="16"/>
                <w:szCs w:val="16"/>
                <w:lang w:bidi="ru-RU"/>
              </w:rPr>
              <w:t>Скидки**</w:t>
            </w:r>
          </w:p>
        </w:tc>
        <w:tc>
          <w:tcPr>
            <w:tcW w:w="1345" w:type="dxa"/>
            <w:shd w:val="clear" w:color="auto" w:fill="FFFFFF"/>
            <w:vAlign w:val="bottom"/>
          </w:tcPr>
          <w:p w14:paraId="3D3AE63B" w14:textId="77777777" w:rsidR="00AC46A6" w:rsidRPr="00C81933" w:rsidRDefault="00AC46A6" w:rsidP="00AC46A6">
            <w:pPr>
              <w:pStyle w:val="NoSpacing"/>
              <w:jc w:val="center"/>
              <w:rPr>
                <w:rFonts w:eastAsia="Courier New"/>
                <w:b/>
                <w:bCs/>
                <w:sz w:val="16"/>
                <w:szCs w:val="16"/>
                <w:lang w:bidi="ar-SA"/>
              </w:rPr>
            </w:pPr>
            <w:r w:rsidRPr="00C81933">
              <w:rPr>
                <w:rFonts w:eastAsia="Courier New"/>
                <w:b/>
                <w:sz w:val="16"/>
                <w:szCs w:val="16"/>
                <w:lang w:bidi="ru-RU"/>
              </w:rPr>
              <w:t>Размер скидки</w:t>
            </w:r>
          </w:p>
        </w:tc>
        <w:tc>
          <w:tcPr>
            <w:tcW w:w="1349" w:type="dxa"/>
            <w:shd w:val="clear" w:color="auto" w:fill="FFFFFF"/>
            <w:vAlign w:val="bottom"/>
          </w:tcPr>
          <w:p w14:paraId="3D3AE63C" w14:textId="77777777" w:rsidR="00AC46A6" w:rsidRPr="00C81933" w:rsidRDefault="00AC46A6" w:rsidP="00AC46A6">
            <w:pPr>
              <w:pStyle w:val="NoSpacing"/>
              <w:jc w:val="right"/>
              <w:rPr>
                <w:rFonts w:eastAsia="Courier New"/>
                <w:b/>
                <w:bCs/>
                <w:sz w:val="16"/>
                <w:szCs w:val="16"/>
                <w:lang w:bidi="ar-SA"/>
              </w:rPr>
            </w:pPr>
            <w:r w:rsidRPr="00C81933">
              <w:rPr>
                <w:rFonts w:eastAsia="Courier New"/>
                <w:b/>
                <w:sz w:val="16"/>
                <w:szCs w:val="16"/>
                <w:lang w:bidi="ru-RU"/>
              </w:rPr>
              <w:t>Расчет AGB</w:t>
            </w:r>
          </w:p>
        </w:tc>
      </w:tr>
      <w:tr w:rsidR="00AC46A6" w:rsidRPr="00AC46A6" w14:paraId="3D3AE643" w14:textId="77777777" w:rsidTr="00C81933">
        <w:trPr>
          <w:jc w:val="center"/>
        </w:trPr>
        <w:tc>
          <w:tcPr>
            <w:tcW w:w="4763" w:type="dxa"/>
            <w:shd w:val="clear" w:color="auto" w:fill="FFFFFF"/>
            <w:vAlign w:val="bottom"/>
          </w:tcPr>
          <w:p w14:paraId="3D3AE63E" w14:textId="77777777" w:rsidR="00AC46A6" w:rsidRPr="00C81933" w:rsidRDefault="00AC46A6" w:rsidP="005C7A45">
            <w:pPr>
              <w:pStyle w:val="NoSpacing"/>
              <w:spacing w:before="240"/>
              <w:rPr>
                <w:rFonts w:eastAsia="Courier New"/>
                <w:sz w:val="16"/>
                <w:szCs w:val="16"/>
                <w:lang w:bidi="ar-SA"/>
              </w:rPr>
            </w:pPr>
            <w:r w:rsidRPr="00C81933">
              <w:rPr>
                <w:rFonts w:eastAsia="Courier New"/>
                <w:sz w:val="16"/>
                <w:szCs w:val="16"/>
                <w:lang w:bidi="ru-RU"/>
              </w:rPr>
              <w:t>Texas Health Allen</w:t>
            </w:r>
          </w:p>
        </w:tc>
        <w:tc>
          <w:tcPr>
            <w:tcW w:w="1814" w:type="dxa"/>
            <w:gridSpan w:val="2"/>
            <w:tcBorders>
              <w:top w:val="single" w:sz="4" w:space="0" w:color="auto"/>
            </w:tcBorders>
            <w:shd w:val="clear" w:color="auto" w:fill="FFFFFF"/>
            <w:vAlign w:val="bottom"/>
          </w:tcPr>
          <w:p w14:paraId="3D3AE63F" w14:textId="77777777" w:rsidR="00AC46A6" w:rsidRPr="00C81933" w:rsidRDefault="00AC46A6" w:rsidP="005C7A45">
            <w:pPr>
              <w:pStyle w:val="NoSpacing"/>
              <w:spacing w:before="240"/>
              <w:jc w:val="right"/>
              <w:rPr>
                <w:rFonts w:eastAsia="Courier New"/>
                <w:sz w:val="16"/>
                <w:szCs w:val="16"/>
                <w:lang w:bidi="ar-SA"/>
              </w:rPr>
            </w:pPr>
            <w:r w:rsidRPr="00C81933">
              <w:rPr>
                <w:rFonts w:eastAsia="Courier New"/>
                <w:sz w:val="16"/>
                <w:szCs w:val="16"/>
                <w:lang w:bidi="ru-RU"/>
              </w:rPr>
              <w:t>$173 050 478</w:t>
            </w:r>
          </w:p>
        </w:tc>
        <w:tc>
          <w:tcPr>
            <w:tcW w:w="1814" w:type="dxa"/>
            <w:gridSpan w:val="2"/>
            <w:tcBorders>
              <w:top w:val="single" w:sz="4" w:space="0" w:color="auto"/>
            </w:tcBorders>
            <w:shd w:val="clear" w:color="auto" w:fill="FFFFFF"/>
            <w:vAlign w:val="bottom"/>
          </w:tcPr>
          <w:p w14:paraId="3D3AE640" w14:textId="77777777" w:rsidR="00AC46A6" w:rsidRPr="00C81933" w:rsidRDefault="00AC46A6" w:rsidP="005C7A45">
            <w:pPr>
              <w:pStyle w:val="NoSpacing"/>
              <w:spacing w:before="240"/>
              <w:jc w:val="right"/>
              <w:rPr>
                <w:rFonts w:eastAsia="Courier New"/>
                <w:sz w:val="16"/>
                <w:szCs w:val="16"/>
                <w:lang w:bidi="ar-SA"/>
              </w:rPr>
            </w:pPr>
            <w:r w:rsidRPr="00C81933">
              <w:rPr>
                <w:rFonts w:eastAsia="Courier New"/>
                <w:sz w:val="16"/>
                <w:szCs w:val="16"/>
                <w:lang w:bidi="ru-RU"/>
              </w:rPr>
              <w:t>–$99 426 814</w:t>
            </w:r>
          </w:p>
        </w:tc>
        <w:tc>
          <w:tcPr>
            <w:tcW w:w="1345" w:type="dxa"/>
            <w:tcBorders>
              <w:top w:val="single" w:sz="4" w:space="0" w:color="auto"/>
            </w:tcBorders>
            <w:shd w:val="clear" w:color="auto" w:fill="FFFFFF"/>
            <w:vAlign w:val="bottom"/>
          </w:tcPr>
          <w:p w14:paraId="3D3AE641" w14:textId="77777777" w:rsidR="00AC46A6" w:rsidRPr="00C81933" w:rsidRDefault="00AC46A6" w:rsidP="005C7A45">
            <w:pPr>
              <w:pStyle w:val="NoSpacing"/>
              <w:spacing w:before="240"/>
              <w:jc w:val="right"/>
              <w:rPr>
                <w:rFonts w:eastAsia="Courier New"/>
                <w:sz w:val="16"/>
                <w:szCs w:val="16"/>
                <w:lang w:bidi="ar-SA"/>
              </w:rPr>
            </w:pPr>
            <w:r w:rsidRPr="00C81933">
              <w:rPr>
                <w:rFonts w:eastAsia="Courier New"/>
                <w:sz w:val="16"/>
                <w:szCs w:val="16"/>
                <w:lang w:bidi="ru-RU"/>
              </w:rPr>
              <w:t>57,46%</w:t>
            </w:r>
          </w:p>
        </w:tc>
        <w:tc>
          <w:tcPr>
            <w:tcW w:w="1349" w:type="dxa"/>
            <w:tcBorders>
              <w:top w:val="single" w:sz="4" w:space="0" w:color="auto"/>
            </w:tcBorders>
            <w:shd w:val="clear" w:color="auto" w:fill="FFFFFF"/>
            <w:vAlign w:val="bottom"/>
          </w:tcPr>
          <w:p w14:paraId="3D3AE642" w14:textId="77777777" w:rsidR="00AC46A6" w:rsidRPr="00C81933" w:rsidRDefault="00AC46A6" w:rsidP="005C7A45">
            <w:pPr>
              <w:pStyle w:val="NoSpacing"/>
              <w:spacing w:before="240"/>
              <w:jc w:val="right"/>
              <w:rPr>
                <w:rFonts w:eastAsia="Courier New"/>
                <w:sz w:val="16"/>
                <w:szCs w:val="16"/>
                <w:lang w:bidi="ar-SA"/>
              </w:rPr>
            </w:pPr>
            <w:r w:rsidRPr="00C81933">
              <w:rPr>
                <w:rFonts w:eastAsia="Courier New"/>
                <w:sz w:val="16"/>
                <w:szCs w:val="16"/>
                <w:lang w:bidi="ru-RU"/>
              </w:rPr>
              <w:t>42,54%</w:t>
            </w:r>
          </w:p>
        </w:tc>
      </w:tr>
      <w:tr w:rsidR="00AC46A6" w:rsidRPr="00AC46A6" w14:paraId="3D3AE649" w14:textId="77777777" w:rsidTr="00C81933">
        <w:trPr>
          <w:jc w:val="center"/>
        </w:trPr>
        <w:tc>
          <w:tcPr>
            <w:tcW w:w="4763" w:type="dxa"/>
            <w:shd w:val="clear" w:color="auto" w:fill="FFFFFF"/>
            <w:vAlign w:val="bottom"/>
          </w:tcPr>
          <w:p w14:paraId="3D3AE644"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Alliance</w:t>
            </w:r>
          </w:p>
        </w:tc>
        <w:tc>
          <w:tcPr>
            <w:tcW w:w="1814" w:type="dxa"/>
            <w:gridSpan w:val="2"/>
            <w:shd w:val="clear" w:color="auto" w:fill="FFFFFF"/>
            <w:vAlign w:val="bottom"/>
          </w:tcPr>
          <w:p w14:paraId="3D3AE645"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$180 827 123</w:t>
            </w:r>
          </w:p>
        </w:tc>
        <w:tc>
          <w:tcPr>
            <w:tcW w:w="1814" w:type="dxa"/>
            <w:gridSpan w:val="2"/>
            <w:shd w:val="clear" w:color="auto" w:fill="FFFFFF"/>
            <w:vAlign w:val="bottom"/>
          </w:tcPr>
          <w:p w14:paraId="3D3AE646"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–$103 193 137</w:t>
            </w:r>
          </w:p>
        </w:tc>
        <w:tc>
          <w:tcPr>
            <w:tcW w:w="1345" w:type="dxa"/>
            <w:shd w:val="clear" w:color="auto" w:fill="FFFFFF"/>
            <w:vAlign w:val="bottom"/>
          </w:tcPr>
          <w:p w14:paraId="3D3AE647"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57,07%</w:t>
            </w:r>
          </w:p>
        </w:tc>
        <w:tc>
          <w:tcPr>
            <w:tcW w:w="1349" w:type="dxa"/>
            <w:shd w:val="clear" w:color="auto" w:fill="FFFFFF"/>
            <w:vAlign w:val="bottom"/>
          </w:tcPr>
          <w:p w14:paraId="3D3AE648"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42,93%</w:t>
            </w:r>
          </w:p>
        </w:tc>
      </w:tr>
      <w:tr w:rsidR="00AC46A6" w:rsidRPr="00AC46A6" w14:paraId="3D3AE64F" w14:textId="77777777" w:rsidTr="00C81933">
        <w:trPr>
          <w:jc w:val="center"/>
        </w:trPr>
        <w:tc>
          <w:tcPr>
            <w:tcW w:w="4763" w:type="dxa"/>
            <w:shd w:val="clear" w:color="auto" w:fill="FFFFFF"/>
            <w:vAlign w:val="bottom"/>
          </w:tcPr>
          <w:p w14:paraId="3D3AE64A"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Arlington Memorial</w:t>
            </w:r>
          </w:p>
        </w:tc>
        <w:tc>
          <w:tcPr>
            <w:tcW w:w="1814" w:type="dxa"/>
            <w:gridSpan w:val="2"/>
            <w:shd w:val="clear" w:color="auto" w:fill="FFFFFF"/>
            <w:vAlign w:val="bottom"/>
          </w:tcPr>
          <w:p w14:paraId="3D3AE64B"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$650 373 517</w:t>
            </w:r>
          </w:p>
        </w:tc>
        <w:tc>
          <w:tcPr>
            <w:tcW w:w="1814" w:type="dxa"/>
            <w:gridSpan w:val="2"/>
            <w:shd w:val="clear" w:color="auto" w:fill="FFFFFF"/>
            <w:vAlign w:val="bottom"/>
          </w:tcPr>
          <w:p w14:paraId="3D3AE64C"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–$438 999 562</w:t>
            </w:r>
          </w:p>
        </w:tc>
        <w:tc>
          <w:tcPr>
            <w:tcW w:w="1345" w:type="dxa"/>
            <w:shd w:val="clear" w:color="auto" w:fill="FFFFFF"/>
            <w:vAlign w:val="bottom"/>
          </w:tcPr>
          <w:p w14:paraId="3D3AE64D"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67,50%</w:t>
            </w:r>
          </w:p>
        </w:tc>
        <w:tc>
          <w:tcPr>
            <w:tcW w:w="1349" w:type="dxa"/>
            <w:shd w:val="clear" w:color="auto" w:fill="FFFFFF"/>
            <w:vAlign w:val="bottom"/>
          </w:tcPr>
          <w:p w14:paraId="3D3AE64E"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32,50%</w:t>
            </w:r>
          </w:p>
        </w:tc>
      </w:tr>
      <w:tr w:rsidR="00AC46A6" w:rsidRPr="00AC46A6" w14:paraId="3D3AE655" w14:textId="77777777" w:rsidTr="00C81933">
        <w:trPr>
          <w:jc w:val="center"/>
        </w:trPr>
        <w:tc>
          <w:tcPr>
            <w:tcW w:w="4763" w:type="dxa"/>
            <w:shd w:val="clear" w:color="auto" w:fill="FFFFFF"/>
            <w:vAlign w:val="bottom"/>
          </w:tcPr>
          <w:p w14:paraId="3D3AE650"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Azle</w:t>
            </w:r>
          </w:p>
        </w:tc>
        <w:tc>
          <w:tcPr>
            <w:tcW w:w="1814" w:type="dxa"/>
            <w:gridSpan w:val="2"/>
            <w:shd w:val="clear" w:color="auto" w:fill="FFFFFF"/>
            <w:vAlign w:val="bottom"/>
          </w:tcPr>
          <w:p w14:paraId="3D3AE651"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$82 054 155</w:t>
            </w:r>
          </w:p>
        </w:tc>
        <w:tc>
          <w:tcPr>
            <w:tcW w:w="1814" w:type="dxa"/>
            <w:gridSpan w:val="2"/>
            <w:shd w:val="clear" w:color="auto" w:fill="FFFFFF"/>
            <w:vAlign w:val="bottom"/>
          </w:tcPr>
          <w:p w14:paraId="3D3AE652"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–$53 083 810</w:t>
            </w:r>
          </w:p>
        </w:tc>
        <w:tc>
          <w:tcPr>
            <w:tcW w:w="1345" w:type="dxa"/>
            <w:shd w:val="clear" w:color="auto" w:fill="FFFFFF"/>
            <w:vAlign w:val="bottom"/>
          </w:tcPr>
          <w:p w14:paraId="3D3AE653"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64,69%</w:t>
            </w:r>
          </w:p>
        </w:tc>
        <w:tc>
          <w:tcPr>
            <w:tcW w:w="1349" w:type="dxa"/>
            <w:shd w:val="clear" w:color="auto" w:fill="FFFFFF"/>
            <w:vAlign w:val="bottom"/>
          </w:tcPr>
          <w:p w14:paraId="3D3AE654"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35,31%</w:t>
            </w:r>
          </w:p>
        </w:tc>
      </w:tr>
      <w:tr w:rsidR="00AC46A6" w:rsidRPr="00AC46A6" w14:paraId="3D3AE65B" w14:textId="77777777" w:rsidTr="00C81933">
        <w:trPr>
          <w:jc w:val="center"/>
        </w:trPr>
        <w:tc>
          <w:tcPr>
            <w:tcW w:w="4763" w:type="dxa"/>
            <w:shd w:val="clear" w:color="auto" w:fill="FFFFFF"/>
            <w:vAlign w:val="bottom"/>
          </w:tcPr>
          <w:p w14:paraId="3D3AE656"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Cleburne</w:t>
            </w:r>
          </w:p>
        </w:tc>
        <w:tc>
          <w:tcPr>
            <w:tcW w:w="1814" w:type="dxa"/>
            <w:gridSpan w:val="2"/>
            <w:shd w:val="clear" w:color="auto" w:fill="FFFFFF"/>
            <w:vAlign w:val="bottom"/>
          </w:tcPr>
          <w:p w14:paraId="3D3AE657"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$179 180 610</w:t>
            </w:r>
          </w:p>
        </w:tc>
        <w:tc>
          <w:tcPr>
            <w:tcW w:w="1814" w:type="dxa"/>
            <w:gridSpan w:val="2"/>
            <w:shd w:val="clear" w:color="auto" w:fill="FFFFFF"/>
            <w:vAlign w:val="bottom"/>
          </w:tcPr>
          <w:p w14:paraId="3D3AE658"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–$116 963 395</w:t>
            </w:r>
          </w:p>
        </w:tc>
        <w:tc>
          <w:tcPr>
            <w:tcW w:w="1345" w:type="dxa"/>
            <w:shd w:val="clear" w:color="auto" w:fill="FFFFFF"/>
            <w:vAlign w:val="bottom"/>
          </w:tcPr>
          <w:p w14:paraId="3D3AE659"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65,28%</w:t>
            </w:r>
          </w:p>
        </w:tc>
        <w:tc>
          <w:tcPr>
            <w:tcW w:w="1349" w:type="dxa"/>
            <w:shd w:val="clear" w:color="auto" w:fill="FFFFFF"/>
            <w:vAlign w:val="bottom"/>
          </w:tcPr>
          <w:p w14:paraId="3D3AE65A"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34,72%</w:t>
            </w:r>
          </w:p>
        </w:tc>
      </w:tr>
      <w:tr w:rsidR="00AC46A6" w:rsidRPr="00AC46A6" w14:paraId="3D3AE661" w14:textId="77777777" w:rsidTr="00C81933">
        <w:trPr>
          <w:jc w:val="center"/>
        </w:trPr>
        <w:tc>
          <w:tcPr>
            <w:tcW w:w="4763" w:type="dxa"/>
            <w:shd w:val="clear" w:color="auto" w:fill="FFFFFF"/>
            <w:vAlign w:val="bottom"/>
          </w:tcPr>
          <w:p w14:paraId="3D3AE65C"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Dallas</w:t>
            </w:r>
          </w:p>
        </w:tc>
        <w:tc>
          <w:tcPr>
            <w:tcW w:w="1814" w:type="dxa"/>
            <w:gridSpan w:val="2"/>
            <w:shd w:val="clear" w:color="auto" w:fill="FFFFFF"/>
            <w:vAlign w:val="bottom"/>
          </w:tcPr>
          <w:p w14:paraId="3D3AE65D"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$1 498 528 745</w:t>
            </w:r>
          </w:p>
        </w:tc>
        <w:tc>
          <w:tcPr>
            <w:tcW w:w="1814" w:type="dxa"/>
            <w:gridSpan w:val="2"/>
            <w:shd w:val="clear" w:color="auto" w:fill="FFFFFF"/>
            <w:vAlign w:val="bottom"/>
          </w:tcPr>
          <w:p w14:paraId="3D3AE65E"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–$955 095 435</w:t>
            </w:r>
          </w:p>
        </w:tc>
        <w:tc>
          <w:tcPr>
            <w:tcW w:w="1345" w:type="dxa"/>
            <w:shd w:val="clear" w:color="auto" w:fill="FFFFFF"/>
            <w:vAlign w:val="bottom"/>
          </w:tcPr>
          <w:p w14:paraId="3D3AE65F"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63,74%</w:t>
            </w:r>
          </w:p>
        </w:tc>
        <w:tc>
          <w:tcPr>
            <w:tcW w:w="1349" w:type="dxa"/>
            <w:shd w:val="clear" w:color="auto" w:fill="FFFFFF"/>
            <w:vAlign w:val="bottom"/>
          </w:tcPr>
          <w:p w14:paraId="3D3AE660"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36,26%</w:t>
            </w:r>
          </w:p>
        </w:tc>
      </w:tr>
      <w:tr w:rsidR="00AC46A6" w:rsidRPr="00AC46A6" w14:paraId="3D3AE667" w14:textId="77777777" w:rsidTr="00C81933">
        <w:trPr>
          <w:jc w:val="center"/>
        </w:trPr>
        <w:tc>
          <w:tcPr>
            <w:tcW w:w="4763" w:type="dxa"/>
            <w:shd w:val="clear" w:color="auto" w:fill="FFFFFF"/>
            <w:vAlign w:val="bottom"/>
          </w:tcPr>
          <w:p w14:paraId="3D3AE662"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Denton</w:t>
            </w:r>
          </w:p>
        </w:tc>
        <w:tc>
          <w:tcPr>
            <w:tcW w:w="1814" w:type="dxa"/>
            <w:gridSpan w:val="2"/>
            <w:shd w:val="clear" w:color="auto" w:fill="FFFFFF"/>
            <w:vAlign w:val="bottom"/>
          </w:tcPr>
          <w:p w14:paraId="3D3AE663"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$519 809 084</w:t>
            </w:r>
          </w:p>
        </w:tc>
        <w:tc>
          <w:tcPr>
            <w:tcW w:w="1814" w:type="dxa"/>
            <w:gridSpan w:val="2"/>
            <w:shd w:val="clear" w:color="auto" w:fill="FFFFFF"/>
            <w:vAlign w:val="bottom"/>
          </w:tcPr>
          <w:p w14:paraId="3D3AE664"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–$354 868 857</w:t>
            </w:r>
          </w:p>
        </w:tc>
        <w:tc>
          <w:tcPr>
            <w:tcW w:w="1345" w:type="dxa"/>
            <w:shd w:val="clear" w:color="auto" w:fill="FFFFFF"/>
            <w:vAlign w:val="bottom"/>
          </w:tcPr>
          <w:p w14:paraId="3D3AE665"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68,27%</w:t>
            </w:r>
          </w:p>
        </w:tc>
        <w:tc>
          <w:tcPr>
            <w:tcW w:w="1349" w:type="dxa"/>
            <w:shd w:val="clear" w:color="auto" w:fill="FFFFFF"/>
            <w:vAlign w:val="bottom"/>
          </w:tcPr>
          <w:p w14:paraId="3D3AE666"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31,73%</w:t>
            </w:r>
          </w:p>
        </w:tc>
      </w:tr>
      <w:tr w:rsidR="00AC46A6" w:rsidRPr="00AC46A6" w14:paraId="3D3AE66D" w14:textId="77777777" w:rsidTr="00C81933">
        <w:trPr>
          <w:jc w:val="center"/>
        </w:trPr>
        <w:tc>
          <w:tcPr>
            <w:tcW w:w="4763" w:type="dxa"/>
            <w:shd w:val="clear" w:color="auto" w:fill="FFFFFF"/>
            <w:vAlign w:val="bottom"/>
          </w:tcPr>
          <w:p w14:paraId="3D3AE668"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Fort Worth</w:t>
            </w:r>
          </w:p>
        </w:tc>
        <w:tc>
          <w:tcPr>
            <w:tcW w:w="1814" w:type="dxa"/>
            <w:gridSpan w:val="2"/>
            <w:shd w:val="clear" w:color="auto" w:fill="FFFFFF"/>
            <w:vAlign w:val="bottom"/>
          </w:tcPr>
          <w:p w14:paraId="3D3AE669"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$1 996 251 867</w:t>
            </w:r>
          </w:p>
        </w:tc>
        <w:tc>
          <w:tcPr>
            <w:tcW w:w="1814" w:type="dxa"/>
            <w:gridSpan w:val="2"/>
            <w:shd w:val="clear" w:color="auto" w:fill="FFFFFF"/>
            <w:vAlign w:val="bottom"/>
          </w:tcPr>
          <w:p w14:paraId="3D3AE66A"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–$1 333 149 193</w:t>
            </w:r>
          </w:p>
        </w:tc>
        <w:tc>
          <w:tcPr>
            <w:tcW w:w="1345" w:type="dxa"/>
            <w:shd w:val="clear" w:color="auto" w:fill="FFFFFF"/>
            <w:vAlign w:val="bottom"/>
          </w:tcPr>
          <w:p w14:paraId="3D3AE66B"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66,78%</w:t>
            </w:r>
          </w:p>
        </w:tc>
        <w:tc>
          <w:tcPr>
            <w:tcW w:w="1349" w:type="dxa"/>
            <w:shd w:val="clear" w:color="auto" w:fill="FFFFFF"/>
            <w:vAlign w:val="bottom"/>
          </w:tcPr>
          <w:p w14:paraId="3D3AE66C"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33,22%</w:t>
            </w:r>
          </w:p>
        </w:tc>
      </w:tr>
      <w:tr w:rsidR="00AC46A6" w:rsidRPr="00AC46A6" w14:paraId="3D3AE673" w14:textId="77777777" w:rsidTr="00C81933">
        <w:trPr>
          <w:jc w:val="center"/>
        </w:trPr>
        <w:tc>
          <w:tcPr>
            <w:tcW w:w="4763" w:type="dxa"/>
            <w:shd w:val="clear" w:color="auto" w:fill="FFFFFF"/>
            <w:vAlign w:val="bottom"/>
          </w:tcPr>
          <w:p w14:paraId="3D3AE66E"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HEB</w:t>
            </w:r>
          </w:p>
        </w:tc>
        <w:tc>
          <w:tcPr>
            <w:tcW w:w="1814" w:type="dxa"/>
            <w:gridSpan w:val="2"/>
            <w:shd w:val="clear" w:color="auto" w:fill="FFFFFF"/>
            <w:vAlign w:val="bottom"/>
          </w:tcPr>
          <w:p w14:paraId="3D3AE66F"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$713 877 885</w:t>
            </w:r>
          </w:p>
        </w:tc>
        <w:tc>
          <w:tcPr>
            <w:tcW w:w="1814" w:type="dxa"/>
            <w:gridSpan w:val="2"/>
            <w:shd w:val="clear" w:color="auto" w:fill="FFFFFF"/>
            <w:vAlign w:val="bottom"/>
          </w:tcPr>
          <w:p w14:paraId="3D3AE670"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–$474 684 930</w:t>
            </w:r>
          </w:p>
        </w:tc>
        <w:tc>
          <w:tcPr>
            <w:tcW w:w="1345" w:type="dxa"/>
            <w:shd w:val="clear" w:color="auto" w:fill="FFFFFF"/>
            <w:vAlign w:val="bottom"/>
          </w:tcPr>
          <w:p w14:paraId="3D3AE671"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66,49%</w:t>
            </w:r>
          </w:p>
        </w:tc>
        <w:tc>
          <w:tcPr>
            <w:tcW w:w="1349" w:type="dxa"/>
            <w:shd w:val="clear" w:color="auto" w:fill="FFFFFF"/>
            <w:vAlign w:val="bottom"/>
          </w:tcPr>
          <w:p w14:paraId="3D3AE672"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33,51%</w:t>
            </w:r>
          </w:p>
        </w:tc>
      </w:tr>
      <w:tr w:rsidR="00AC46A6" w:rsidRPr="00AC46A6" w14:paraId="3D3AE679" w14:textId="77777777" w:rsidTr="00C81933">
        <w:trPr>
          <w:jc w:val="center"/>
        </w:trPr>
        <w:tc>
          <w:tcPr>
            <w:tcW w:w="4763" w:type="dxa"/>
            <w:shd w:val="clear" w:color="auto" w:fill="FFFFFF"/>
            <w:vAlign w:val="bottom"/>
          </w:tcPr>
          <w:p w14:paraId="3D3AE674"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Heart and Vascular Hospital</w:t>
            </w:r>
          </w:p>
        </w:tc>
        <w:tc>
          <w:tcPr>
            <w:tcW w:w="1814" w:type="dxa"/>
            <w:gridSpan w:val="2"/>
            <w:shd w:val="clear" w:color="auto" w:fill="FFFFFF"/>
            <w:vAlign w:val="bottom"/>
          </w:tcPr>
          <w:p w14:paraId="3D3AE675"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$145 125 910</w:t>
            </w:r>
          </w:p>
        </w:tc>
        <w:tc>
          <w:tcPr>
            <w:tcW w:w="1814" w:type="dxa"/>
            <w:gridSpan w:val="2"/>
            <w:shd w:val="clear" w:color="auto" w:fill="FFFFFF"/>
            <w:vAlign w:val="bottom"/>
          </w:tcPr>
          <w:p w14:paraId="3D3AE676"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–$102 933 398</w:t>
            </w:r>
          </w:p>
        </w:tc>
        <w:tc>
          <w:tcPr>
            <w:tcW w:w="1345" w:type="dxa"/>
            <w:shd w:val="clear" w:color="auto" w:fill="FFFFFF"/>
            <w:vAlign w:val="bottom"/>
          </w:tcPr>
          <w:p w14:paraId="3D3AE677"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70,93%</w:t>
            </w:r>
          </w:p>
        </w:tc>
        <w:tc>
          <w:tcPr>
            <w:tcW w:w="1349" w:type="dxa"/>
            <w:shd w:val="clear" w:color="auto" w:fill="FFFFFF"/>
            <w:vAlign w:val="bottom"/>
          </w:tcPr>
          <w:p w14:paraId="3D3AE678"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29,07%</w:t>
            </w:r>
          </w:p>
        </w:tc>
      </w:tr>
      <w:tr w:rsidR="00AC46A6" w:rsidRPr="00AC46A6" w14:paraId="3D3AE67F" w14:textId="77777777" w:rsidTr="00C81933">
        <w:trPr>
          <w:jc w:val="center"/>
        </w:trPr>
        <w:tc>
          <w:tcPr>
            <w:tcW w:w="4763" w:type="dxa"/>
            <w:shd w:val="clear" w:color="auto" w:fill="FFFFFF"/>
            <w:vAlign w:val="bottom"/>
          </w:tcPr>
          <w:p w14:paraId="3D3AE67A"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Kaufman</w:t>
            </w:r>
          </w:p>
        </w:tc>
        <w:tc>
          <w:tcPr>
            <w:tcW w:w="1814" w:type="dxa"/>
            <w:gridSpan w:val="2"/>
            <w:shd w:val="clear" w:color="auto" w:fill="FFFFFF"/>
            <w:vAlign w:val="bottom"/>
          </w:tcPr>
          <w:p w14:paraId="3D3AE67B"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$98 562 318</w:t>
            </w:r>
          </w:p>
        </w:tc>
        <w:tc>
          <w:tcPr>
            <w:tcW w:w="1814" w:type="dxa"/>
            <w:gridSpan w:val="2"/>
            <w:shd w:val="clear" w:color="auto" w:fill="FFFFFF"/>
            <w:vAlign w:val="bottom"/>
          </w:tcPr>
          <w:p w14:paraId="3D3AE67C"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–$66 462 941</w:t>
            </w:r>
          </w:p>
        </w:tc>
        <w:tc>
          <w:tcPr>
            <w:tcW w:w="1345" w:type="dxa"/>
            <w:shd w:val="clear" w:color="auto" w:fill="FFFFFF"/>
            <w:vAlign w:val="bottom"/>
          </w:tcPr>
          <w:p w14:paraId="3D3AE67D"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67,43%</w:t>
            </w:r>
          </w:p>
        </w:tc>
        <w:tc>
          <w:tcPr>
            <w:tcW w:w="1349" w:type="dxa"/>
            <w:shd w:val="clear" w:color="auto" w:fill="FFFFFF"/>
            <w:vAlign w:val="bottom"/>
          </w:tcPr>
          <w:p w14:paraId="3D3AE67E"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32,57%</w:t>
            </w:r>
          </w:p>
        </w:tc>
      </w:tr>
      <w:tr w:rsidR="00AC46A6" w:rsidRPr="00AC46A6" w14:paraId="3D3AE685" w14:textId="77777777" w:rsidTr="00C81933">
        <w:trPr>
          <w:jc w:val="center"/>
        </w:trPr>
        <w:tc>
          <w:tcPr>
            <w:tcW w:w="4763" w:type="dxa"/>
            <w:shd w:val="clear" w:color="auto" w:fill="FFFFFF"/>
            <w:vAlign w:val="bottom"/>
          </w:tcPr>
          <w:p w14:paraId="3D3AE680"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Plano</w:t>
            </w:r>
          </w:p>
        </w:tc>
        <w:tc>
          <w:tcPr>
            <w:tcW w:w="1814" w:type="dxa"/>
            <w:gridSpan w:val="2"/>
            <w:shd w:val="clear" w:color="auto" w:fill="FFFFFF"/>
            <w:vAlign w:val="bottom"/>
          </w:tcPr>
          <w:p w14:paraId="3D3AE681"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$850 296 381</w:t>
            </w:r>
          </w:p>
        </w:tc>
        <w:tc>
          <w:tcPr>
            <w:tcW w:w="1814" w:type="dxa"/>
            <w:gridSpan w:val="2"/>
            <w:shd w:val="clear" w:color="auto" w:fill="FFFFFF"/>
            <w:vAlign w:val="bottom"/>
          </w:tcPr>
          <w:p w14:paraId="3D3AE682"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–$491 101 985</w:t>
            </w:r>
          </w:p>
        </w:tc>
        <w:tc>
          <w:tcPr>
            <w:tcW w:w="1345" w:type="dxa"/>
            <w:shd w:val="clear" w:color="auto" w:fill="FFFFFF"/>
            <w:vAlign w:val="bottom"/>
          </w:tcPr>
          <w:p w14:paraId="3D3AE683"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57,76%</w:t>
            </w:r>
          </w:p>
        </w:tc>
        <w:tc>
          <w:tcPr>
            <w:tcW w:w="1349" w:type="dxa"/>
            <w:shd w:val="clear" w:color="auto" w:fill="FFFFFF"/>
            <w:vAlign w:val="bottom"/>
          </w:tcPr>
          <w:p w14:paraId="3D3AE684"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42,24%</w:t>
            </w:r>
          </w:p>
        </w:tc>
      </w:tr>
      <w:tr w:rsidR="00AC46A6" w:rsidRPr="00AC46A6" w14:paraId="3D3AE68B" w14:textId="77777777" w:rsidTr="00C81933">
        <w:trPr>
          <w:jc w:val="center"/>
        </w:trPr>
        <w:tc>
          <w:tcPr>
            <w:tcW w:w="4763" w:type="dxa"/>
            <w:shd w:val="clear" w:color="auto" w:fill="FFFFFF"/>
            <w:vAlign w:val="bottom"/>
          </w:tcPr>
          <w:p w14:paraId="3D3AE686"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Stevenville</w:t>
            </w:r>
          </w:p>
        </w:tc>
        <w:tc>
          <w:tcPr>
            <w:tcW w:w="1814" w:type="dxa"/>
            <w:gridSpan w:val="2"/>
            <w:shd w:val="clear" w:color="auto" w:fill="FFFFFF"/>
            <w:vAlign w:val="bottom"/>
          </w:tcPr>
          <w:p w14:paraId="3D3AE687"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$110 161 724</w:t>
            </w:r>
          </w:p>
        </w:tc>
        <w:tc>
          <w:tcPr>
            <w:tcW w:w="1814" w:type="dxa"/>
            <w:gridSpan w:val="2"/>
            <w:shd w:val="clear" w:color="auto" w:fill="FFFFFF"/>
            <w:vAlign w:val="bottom"/>
          </w:tcPr>
          <w:p w14:paraId="3D3AE688"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–$66 746 844</w:t>
            </w:r>
          </w:p>
        </w:tc>
        <w:tc>
          <w:tcPr>
            <w:tcW w:w="1345" w:type="dxa"/>
            <w:shd w:val="clear" w:color="auto" w:fill="FFFFFF"/>
            <w:vAlign w:val="bottom"/>
          </w:tcPr>
          <w:p w14:paraId="3D3AE689"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60,59%</w:t>
            </w:r>
          </w:p>
        </w:tc>
        <w:tc>
          <w:tcPr>
            <w:tcW w:w="1349" w:type="dxa"/>
            <w:shd w:val="clear" w:color="auto" w:fill="FFFFFF"/>
            <w:vAlign w:val="bottom"/>
          </w:tcPr>
          <w:p w14:paraId="3D3AE68A"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39,41%</w:t>
            </w:r>
          </w:p>
        </w:tc>
      </w:tr>
      <w:tr w:rsidR="00AC46A6" w:rsidRPr="00AC46A6" w14:paraId="3D3AE691" w14:textId="77777777" w:rsidTr="00C81933">
        <w:trPr>
          <w:jc w:val="center"/>
        </w:trPr>
        <w:tc>
          <w:tcPr>
            <w:tcW w:w="4763" w:type="dxa"/>
            <w:shd w:val="clear" w:color="auto" w:fill="FFFFFF"/>
            <w:vAlign w:val="bottom"/>
          </w:tcPr>
          <w:p w14:paraId="3D3AE68C"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Speciality Hospital</w:t>
            </w:r>
          </w:p>
        </w:tc>
        <w:tc>
          <w:tcPr>
            <w:tcW w:w="1814" w:type="dxa"/>
            <w:gridSpan w:val="2"/>
            <w:shd w:val="clear" w:color="auto" w:fill="FFFFFF"/>
            <w:vAlign w:val="bottom"/>
          </w:tcPr>
          <w:p w14:paraId="3D3AE68D"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$18 810 968</w:t>
            </w:r>
          </w:p>
        </w:tc>
        <w:tc>
          <w:tcPr>
            <w:tcW w:w="1814" w:type="dxa"/>
            <w:gridSpan w:val="2"/>
            <w:shd w:val="clear" w:color="auto" w:fill="FFFFFF"/>
            <w:vAlign w:val="bottom"/>
          </w:tcPr>
          <w:p w14:paraId="3D3AE68E"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–$9 914 873</w:t>
            </w:r>
          </w:p>
        </w:tc>
        <w:tc>
          <w:tcPr>
            <w:tcW w:w="1345" w:type="dxa"/>
            <w:shd w:val="clear" w:color="auto" w:fill="FFFFFF"/>
            <w:vAlign w:val="bottom"/>
          </w:tcPr>
          <w:p w14:paraId="3D3AE68F"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52,71%</w:t>
            </w:r>
          </w:p>
        </w:tc>
        <w:tc>
          <w:tcPr>
            <w:tcW w:w="1349" w:type="dxa"/>
            <w:shd w:val="clear" w:color="auto" w:fill="FFFFFF"/>
            <w:vAlign w:val="bottom"/>
          </w:tcPr>
          <w:p w14:paraId="3D3AE690"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47,29%</w:t>
            </w:r>
          </w:p>
        </w:tc>
      </w:tr>
      <w:tr w:rsidR="00AC46A6" w:rsidRPr="00AC46A6" w14:paraId="3D3AE697" w14:textId="77777777" w:rsidTr="00C81933">
        <w:trPr>
          <w:jc w:val="center"/>
        </w:trPr>
        <w:tc>
          <w:tcPr>
            <w:tcW w:w="4763" w:type="dxa"/>
            <w:shd w:val="clear" w:color="auto" w:fill="FFFFFF"/>
            <w:vAlign w:val="bottom"/>
          </w:tcPr>
          <w:p w14:paraId="3D3AE692"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Southwest Ft. Сумма</w:t>
            </w:r>
          </w:p>
        </w:tc>
        <w:tc>
          <w:tcPr>
            <w:tcW w:w="1814" w:type="dxa"/>
            <w:gridSpan w:val="2"/>
            <w:shd w:val="clear" w:color="auto" w:fill="FFFFFF"/>
            <w:vAlign w:val="bottom"/>
          </w:tcPr>
          <w:p w14:paraId="3D3AE693"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$611 686 328</w:t>
            </w:r>
          </w:p>
        </w:tc>
        <w:tc>
          <w:tcPr>
            <w:tcW w:w="1814" w:type="dxa"/>
            <w:gridSpan w:val="2"/>
            <w:shd w:val="clear" w:color="auto" w:fill="FFFFFF"/>
            <w:vAlign w:val="bottom"/>
          </w:tcPr>
          <w:p w14:paraId="3D3AE694"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–$379 904 501</w:t>
            </w:r>
          </w:p>
        </w:tc>
        <w:tc>
          <w:tcPr>
            <w:tcW w:w="1345" w:type="dxa"/>
            <w:shd w:val="clear" w:color="auto" w:fill="FFFFFF"/>
            <w:vAlign w:val="bottom"/>
          </w:tcPr>
          <w:p w14:paraId="3D3AE695"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62,11%</w:t>
            </w:r>
          </w:p>
        </w:tc>
        <w:tc>
          <w:tcPr>
            <w:tcW w:w="1349" w:type="dxa"/>
            <w:shd w:val="clear" w:color="auto" w:fill="FFFFFF"/>
            <w:vAlign w:val="bottom"/>
          </w:tcPr>
          <w:p w14:paraId="3D3AE696"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37,89%</w:t>
            </w:r>
          </w:p>
        </w:tc>
      </w:tr>
      <w:tr w:rsidR="00AC46A6" w:rsidRPr="00AC46A6" w14:paraId="3D3AE69D" w14:textId="77777777" w:rsidTr="00C81933">
        <w:trPr>
          <w:jc w:val="center"/>
        </w:trPr>
        <w:tc>
          <w:tcPr>
            <w:tcW w:w="4763" w:type="dxa"/>
            <w:shd w:val="clear" w:color="auto" w:fill="FFFFFF"/>
            <w:vAlign w:val="bottom"/>
          </w:tcPr>
          <w:p w14:paraId="3D3AE698"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Rockwall</w:t>
            </w:r>
          </w:p>
        </w:tc>
        <w:tc>
          <w:tcPr>
            <w:tcW w:w="1814" w:type="dxa"/>
            <w:gridSpan w:val="2"/>
            <w:shd w:val="clear" w:color="auto" w:fill="FFFFFF"/>
            <w:vAlign w:val="bottom"/>
          </w:tcPr>
          <w:p w14:paraId="3D3AE699"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$235 517 306</w:t>
            </w:r>
          </w:p>
        </w:tc>
        <w:tc>
          <w:tcPr>
            <w:tcW w:w="1814" w:type="dxa"/>
            <w:gridSpan w:val="2"/>
            <w:shd w:val="clear" w:color="auto" w:fill="FFFFFF"/>
            <w:vAlign w:val="bottom"/>
          </w:tcPr>
          <w:p w14:paraId="3D3AE69A"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–$132 880 501</w:t>
            </w:r>
          </w:p>
        </w:tc>
        <w:tc>
          <w:tcPr>
            <w:tcW w:w="1345" w:type="dxa"/>
            <w:shd w:val="clear" w:color="auto" w:fill="FFFFFF"/>
            <w:vAlign w:val="bottom"/>
          </w:tcPr>
          <w:p w14:paraId="3D3AE69B"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56,42%</w:t>
            </w:r>
          </w:p>
        </w:tc>
        <w:tc>
          <w:tcPr>
            <w:tcW w:w="1349" w:type="dxa"/>
            <w:shd w:val="clear" w:color="auto" w:fill="FFFFFF"/>
            <w:vAlign w:val="bottom"/>
          </w:tcPr>
          <w:p w14:paraId="3D3AE69C"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43,58%</w:t>
            </w:r>
          </w:p>
        </w:tc>
      </w:tr>
      <w:tr w:rsidR="00AC46A6" w:rsidRPr="00AC46A6" w14:paraId="3D3AE6A3" w14:textId="77777777" w:rsidTr="00C81933">
        <w:trPr>
          <w:jc w:val="center"/>
        </w:trPr>
        <w:tc>
          <w:tcPr>
            <w:tcW w:w="4763" w:type="dxa"/>
            <w:shd w:val="clear" w:color="auto" w:fill="FFFFFF"/>
            <w:vAlign w:val="bottom"/>
          </w:tcPr>
          <w:p w14:paraId="3D3AE69E"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Flower Mound</w:t>
            </w:r>
          </w:p>
        </w:tc>
        <w:tc>
          <w:tcPr>
            <w:tcW w:w="1814" w:type="dxa"/>
            <w:gridSpan w:val="2"/>
            <w:shd w:val="clear" w:color="auto" w:fill="FFFFFF"/>
            <w:vAlign w:val="bottom"/>
          </w:tcPr>
          <w:p w14:paraId="3D3AE69F"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$244 077 590</w:t>
            </w:r>
          </w:p>
        </w:tc>
        <w:tc>
          <w:tcPr>
            <w:tcW w:w="1814" w:type="dxa"/>
            <w:gridSpan w:val="2"/>
            <w:shd w:val="clear" w:color="auto" w:fill="FFFFFF"/>
            <w:vAlign w:val="bottom"/>
          </w:tcPr>
          <w:p w14:paraId="3D3AE6A0"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–$132 938 148</w:t>
            </w:r>
          </w:p>
        </w:tc>
        <w:tc>
          <w:tcPr>
            <w:tcW w:w="1345" w:type="dxa"/>
            <w:shd w:val="clear" w:color="auto" w:fill="FFFFFF"/>
            <w:vAlign w:val="bottom"/>
          </w:tcPr>
          <w:p w14:paraId="3D3AE6A1"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54,47%</w:t>
            </w:r>
          </w:p>
        </w:tc>
        <w:tc>
          <w:tcPr>
            <w:tcW w:w="1349" w:type="dxa"/>
            <w:shd w:val="clear" w:color="auto" w:fill="FFFFFF"/>
            <w:vAlign w:val="bottom"/>
          </w:tcPr>
          <w:p w14:paraId="3D3AE6A2"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45,53%</w:t>
            </w:r>
          </w:p>
        </w:tc>
      </w:tr>
      <w:tr w:rsidR="00AC46A6" w:rsidRPr="00AC46A6" w14:paraId="3D3AE6A9" w14:textId="77777777" w:rsidTr="00C81933">
        <w:trPr>
          <w:jc w:val="center"/>
        </w:trPr>
        <w:tc>
          <w:tcPr>
            <w:tcW w:w="4763" w:type="dxa"/>
            <w:shd w:val="clear" w:color="auto" w:fill="FFFFFF"/>
            <w:vAlign w:val="bottom"/>
          </w:tcPr>
          <w:p w14:paraId="3D3AE6A4"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Southlake</w:t>
            </w:r>
          </w:p>
        </w:tc>
        <w:tc>
          <w:tcPr>
            <w:tcW w:w="1814" w:type="dxa"/>
            <w:gridSpan w:val="2"/>
            <w:shd w:val="clear" w:color="auto" w:fill="FFFFFF"/>
            <w:vAlign w:val="bottom"/>
          </w:tcPr>
          <w:p w14:paraId="3D3AE6A5"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$126 928 786</w:t>
            </w:r>
          </w:p>
        </w:tc>
        <w:tc>
          <w:tcPr>
            <w:tcW w:w="1814" w:type="dxa"/>
            <w:gridSpan w:val="2"/>
            <w:shd w:val="clear" w:color="auto" w:fill="FFFFFF"/>
            <w:vAlign w:val="bottom"/>
          </w:tcPr>
          <w:p w14:paraId="3D3AE6A6"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–$66 640 275</w:t>
            </w:r>
          </w:p>
        </w:tc>
        <w:tc>
          <w:tcPr>
            <w:tcW w:w="1345" w:type="dxa"/>
            <w:shd w:val="clear" w:color="auto" w:fill="FFFFFF"/>
            <w:vAlign w:val="bottom"/>
          </w:tcPr>
          <w:p w14:paraId="3D3AE6A7"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52,50%</w:t>
            </w:r>
          </w:p>
        </w:tc>
        <w:tc>
          <w:tcPr>
            <w:tcW w:w="1349" w:type="dxa"/>
            <w:shd w:val="clear" w:color="auto" w:fill="FFFFFF"/>
            <w:vAlign w:val="bottom"/>
          </w:tcPr>
          <w:p w14:paraId="3D3AE6A8"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47,50%</w:t>
            </w:r>
          </w:p>
        </w:tc>
      </w:tr>
      <w:tr w:rsidR="00AC46A6" w:rsidRPr="00AC46A6" w14:paraId="3D3AE6AF" w14:textId="77777777" w:rsidTr="00C81933">
        <w:trPr>
          <w:jc w:val="center"/>
        </w:trPr>
        <w:tc>
          <w:tcPr>
            <w:tcW w:w="4763" w:type="dxa"/>
            <w:shd w:val="clear" w:color="auto" w:fill="FFFFFF"/>
            <w:vAlign w:val="bottom"/>
          </w:tcPr>
          <w:p w14:paraId="3D3AE6AA"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Center for Diagnostics and Surgery Plano</w:t>
            </w:r>
          </w:p>
        </w:tc>
        <w:tc>
          <w:tcPr>
            <w:tcW w:w="1814" w:type="dxa"/>
            <w:gridSpan w:val="2"/>
            <w:shd w:val="clear" w:color="auto" w:fill="FFFFFF"/>
            <w:vAlign w:val="bottom"/>
          </w:tcPr>
          <w:p w14:paraId="3D3AE6AB"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$142 895 136</w:t>
            </w:r>
          </w:p>
        </w:tc>
        <w:tc>
          <w:tcPr>
            <w:tcW w:w="1814" w:type="dxa"/>
            <w:gridSpan w:val="2"/>
            <w:shd w:val="clear" w:color="auto" w:fill="FFFFFF"/>
            <w:vAlign w:val="bottom"/>
          </w:tcPr>
          <w:p w14:paraId="3D3AE6AC"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–$72 957 419</w:t>
            </w:r>
          </w:p>
        </w:tc>
        <w:tc>
          <w:tcPr>
            <w:tcW w:w="1345" w:type="dxa"/>
            <w:shd w:val="clear" w:color="auto" w:fill="FFFFFF"/>
            <w:vAlign w:val="bottom"/>
          </w:tcPr>
          <w:p w14:paraId="3D3AE6AD"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51,06%</w:t>
            </w:r>
          </w:p>
        </w:tc>
        <w:tc>
          <w:tcPr>
            <w:tcW w:w="1349" w:type="dxa"/>
            <w:shd w:val="clear" w:color="auto" w:fill="FFFFFF"/>
            <w:vAlign w:val="bottom"/>
          </w:tcPr>
          <w:p w14:paraId="3D3AE6AE"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48,94%</w:t>
            </w:r>
          </w:p>
        </w:tc>
      </w:tr>
      <w:tr w:rsidR="00AC46A6" w:rsidRPr="00AC46A6" w14:paraId="3D3AE6B5" w14:textId="77777777" w:rsidTr="00C81933">
        <w:trPr>
          <w:jc w:val="center"/>
        </w:trPr>
        <w:tc>
          <w:tcPr>
            <w:tcW w:w="4763" w:type="dxa"/>
            <w:shd w:val="clear" w:color="auto" w:fill="FFFFFF"/>
            <w:vAlign w:val="bottom"/>
          </w:tcPr>
          <w:p w14:paraId="3D3AE6B0"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Institute for Surgery</w:t>
            </w:r>
          </w:p>
        </w:tc>
        <w:tc>
          <w:tcPr>
            <w:tcW w:w="1814" w:type="dxa"/>
            <w:gridSpan w:val="2"/>
            <w:shd w:val="clear" w:color="auto" w:fill="FFFFFF"/>
            <w:vAlign w:val="bottom"/>
          </w:tcPr>
          <w:p w14:paraId="3D3AE6B1"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$142 590 116</w:t>
            </w:r>
          </w:p>
        </w:tc>
        <w:tc>
          <w:tcPr>
            <w:tcW w:w="1814" w:type="dxa"/>
            <w:gridSpan w:val="2"/>
            <w:shd w:val="clear" w:color="auto" w:fill="FFFFFF"/>
            <w:vAlign w:val="bottom"/>
          </w:tcPr>
          <w:p w14:paraId="3D3AE6B2"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–$75 113 525</w:t>
            </w:r>
          </w:p>
        </w:tc>
        <w:tc>
          <w:tcPr>
            <w:tcW w:w="1345" w:type="dxa"/>
            <w:shd w:val="clear" w:color="auto" w:fill="FFFFFF"/>
            <w:vAlign w:val="bottom"/>
          </w:tcPr>
          <w:p w14:paraId="3D3AE6B3"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52,68%</w:t>
            </w:r>
          </w:p>
        </w:tc>
        <w:tc>
          <w:tcPr>
            <w:tcW w:w="1349" w:type="dxa"/>
            <w:shd w:val="clear" w:color="auto" w:fill="FFFFFF"/>
            <w:vAlign w:val="bottom"/>
          </w:tcPr>
          <w:p w14:paraId="3D3AE6B4"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47,32%</w:t>
            </w:r>
          </w:p>
        </w:tc>
      </w:tr>
      <w:tr w:rsidR="00AC46A6" w:rsidRPr="00AC46A6" w14:paraId="3D3AE6BB" w14:textId="77777777" w:rsidTr="00C81933">
        <w:trPr>
          <w:jc w:val="center"/>
        </w:trPr>
        <w:tc>
          <w:tcPr>
            <w:tcW w:w="4763" w:type="dxa"/>
            <w:shd w:val="clear" w:color="auto" w:fill="FFFFFF"/>
            <w:vAlign w:val="bottom"/>
          </w:tcPr>
          <w:p w14:paraId="3D3AE6B6"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USMD - Arlington</w:t>
            </w:r>
          </w:p>
        </w:tc>
        <w:tc>
          <w:tcPr>
            <w:tcW w:w="1814" w:type="dxa"/>
            <w:gridSpan w:val="2"/>
            <w:shd w:val="clear" w:color="auto" w:fill="FFFFFF"/>
            <w:vAlign w:val="bottom"/>
          </w:tcPr>
          <w:p w14:paraId="3D3AE6B7"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$264 395 517</w:t>
            </w:r>
          </w:p>
        </w:tc>
        <w:tc>
          <w:tcPr>
            <w:tcW w:w="1814" w:type="dxa"/>
            <w:gridSpan w:val="2"/>
            <w:shd w:val="clear" w:color="auto" w:fill="FFFFFF"/>
            <w:vAlign w:val="bottom"/>
          </w:tcPr>
          <w:p w14:paraId="3D3AE6B8"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–$170 957 598</w:t>
            </w:r>
          </w:p>
        </w:tc>
        <w:tc>
          <w:tcPr>
            <w:tcW w:w="1345" w:type="dxa"/>
            <w:shd w:val="clear" w:color="auto" w:fill="FFFFFF"/>
            <w:vAlign w:val="bottom"/>
          </w:tcPr>
          <w:p w14:paraId="3D3AE6B9"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64,66%</w:t>
            </w:r>
          </w:p>
        </w:tc>
        <w:tc>
          <w:tcPr>
            <w:tcW w:w="1349" w:type="dxa"/>
            <w:shd w:val="clear" w:color="auto" w:fill="FFFFFF"/>
            <w:vAlign w:val="bottom"/>
          </w:tcPr>
          <w:p w14:paraId="3D3AE6BA"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35,34%</w:t>
            </w:r>
          </w:p>
        </w:tc>
      </w:tr>
      <w:tr w:rsidR="00AC46A6" w:rsidRPr="00AC46A6" w14:paraId="3D3AE6C1" w14:textId="77777777" w:rsidTr="00C81933">
        <w:trPr>
          <w:jc w:val="center"/>
        </w:trPr>
        <w:tc>
          <w:tcPr>
            <w:tcW w:w="4763" w:type="dxa"/>
            <w:shd w:val="clear" w:color="auto" w:fill="FFFFFF"/>
            <w:vAlign w:val="bottom"/>
          </w:tcPr>
          <w:p w14:paraId="3D3AE6BC" w14:textId="77777777" w:rsidR="00AC46A6" w:rsidRPr="00C81933" w:rsidRDefault="00AC46A6" w:rsidP="00AC46A6">
            <w:pPr>
              <w:pStyle w:val="NoSpacing"/>
              <w:rPr>
                <w:rFonts w:eastAsia="Courier New"/>
                <w:sz w:val="16"/>
                <w:szCs w:val="16"/>
                <w:lang w:bidi="ar-SA"/>
              </w:rPr>
            </w:pPr>
            <w:r w:rsidRPr="00C81933">
              <w:rPr>
                <w:rFonts w:eastAsia="Courier New"/>
                <w:sz w:val="16"/>
                <w:szCs w:val="16"/>
                <w:lang w:bidi="ru-RU"/>
              </w:rPr>
              <w:t>Texas Health USMD - Fort Worth</w:t>
            </w:r>
          </w:p>
        </w:tc>
        <w:tc>
          <w:tcPr>
            <w:tcW w:w="1814" w:type="dxa"/>
            <w:gridSpan w:val="2"/>
            <w:shd w:val="clear" w:color="auto" w:fill="FFFFFF"/>
            <w:vAlign w:val="bottom"/>
          </w:tcPr>
          <w:p w14:paraId="3D3AE6BD"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$91 783 463</w:t>
            </w:r>
          </w:p>
        </w:tc>
        <w:tc>
          <w:tcPr>
            <w:tcW w:w="1814" w:type="dxa"/>
            <w:gridSpan w:val="2"/>
            <w:shd w:val="clear" w:color="auto" w:fill="FFFFFF"/>
            <w:vAlign w:val="bottom"/>
          </w:tcPr>
          <w:p w14:paraId="3D3AE6BE"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–$54 789 259</w:t>
            </w:r>
          </w:p>
        </w:tc>
        <w:tc>
          <w:tcPr>
            <w:tcW w:w="1345" w:type="dxa"/>
            <w:shd w:val="clear" w:color="auto" w:fill="FFFFFF"/>
            <w:vAlign w:val="bottom"/>
          </w:tcPr>
          <w:p w14:paraId="3D3AE6BF"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59,69%</w:t>
            </w:r>
          </w:p>
        </w:tc>
        <w:tc>
          <w:tcPr>
            <w:tcW w:w="1349" w:type="dxa"/>
            <w:shd w:val="clear" w:color="auto" w:fill="FFFFFF"/>
            <w:vAlign w:val="bottom"/>
          </w:tcPr>
          <w:p w14:paraId="3D3AE6C0" w14:textId="77777777" w:rsidR="00AC46A6" w:rsidRPr="00C81933" w:rsidRDefault="00AC46A6" w:rsidP="00AC46A6">
            <w:pPr>
              <w:pStyle w:val="NoSpacing"/>
              <w:jc w:val="right"/>
              <w:rPr>
                <w:rFonts w:eastAsia="Courier New"/>
                <w:sz w:val="16"/>
                <w:szCs w:val="16"/>
                <w:lang w:bidi="ar-SA"/>
              </w:rPr>
            </w:pPr>
            <w:r w:rsidRPr="00C81933">
              <w:rPr>
                <w:rFonts w:eastAsia="Courier New"/>
                <w:sz w:val="16"/>
                <w:szCs w:val="16"/>
                <w:lang w:bidi="ru-RU"/>
              </w:rPr>
              <w:t>40,31%</w:t>
            </w:r>
          </w:p>
        </w:tc>
      </w:tr>
      <w:tr w:rsidR="00AC46A6" w:rsidRPr="00AC46A6" w14:paraId="3D3AE6C7" w14:textId="77777777" w:rsidTr="00C81933">
        <w:trPr>
          <w:jc w:val="center"/>
        </w:trPr>
        <w:tc>
          <w:tcPr>
            <w:tcW w:w="4763" w:type="dxa"/>
            <w:shd w:val="clear" w:color="auto" w:fill="FFFFFF"/>
            <w:vAlign w:val="bottom"/>
          </w:tcPr>
          <w:p w14:paraId="3D3AE6C2" w14:textId="77777777" w:rsidR="00AC46A6" w:rsidRPr="00C81933" w:rsidRDefault="00AC46A6" w:rsidP="00AC46A6">
            <w:pPr>
              <w:pStyle w:val="NoSpacing"/>
              <w:rPr>
                <w:rFonts w:eastAsia="Courier New"/>
                <w:b/>
                <w:sz w:val="16"/>
                <w:szCs w:val="16"/>
                <w:lang w:bidi="ar-SA"/>
              </w:rPr>
            </w:pPr>
            <w:r w:rsidRPr="00C81933">
              <w:rPr>
                <w:rFonts w:eastAsia="Courier New"/>
                <w:b/>
                <w:sz w:val="16"/>
                <w:szCs w:val="16"/>
                <w:lang w:bidi="ru-RU"/>
              </w:rPr>
              <w:t>Итого</w:t>
            </w:r>
          </w:p>
        </w:tc>
        <w:tc>
          <w:tcPr>
            <w:tcW w:w="1814" w:type="dxa"/>
            <w:gridSpan w:val="2"/>
            <w:shd w:val="clear" w:color="auto" w:fill="FFFFFF"/>
            <w:vAlign w:val="bottom"/>
          </w:tcPr>
          <w:p w14:paraId="3D3AE6C3" w14:textId="77777777" w:rsidR="00AC46A6" w:rsidRPr="00C81933" w:rsidRDefault="00AC46A6" w:rsidP="00AC46A6">
            <w:pPr>
              <w:pStyle w:val="NoSpacing"/>
              <w:jc w:val="right"/>
              <w:rPr>
                <w:rFonts w:eastAsia="Courier New"/>
                <w:b/>
                <w:sz w:val="16"/>
                <w:szCs w:val="16"/>
                <w:lang w:bidi="ar-SA"/>
              </w:rPr>
            </w:pPr>
            <w:r w:rsidRPr="00C81933">
              <w:rPr>
                <w:rFonts w:eastAsia="Courier New"/>
                <w:b/>
                <w:sz w:val="16"/>
                <w:szCs w:val="16"/>
                <w:lang w:bidi="ru-RU"/>
              </w:rPr>
              <w:t>$9 076 785 007</w:t>
            </w:r>
          </w:p>
        </w:tc>
        <w:tc>
          <w:tcPr>
            <w:tcW w:w="1814" w:type="dxa"/>
            <w:gridSpan w:val="2"/>
            <w:shd w:val="clear" w:color="auto" w:fill="FFFFFF"/>
            <w:vAlign w:val="bottom"/>
          </w:tcPr>
          <w:p w14:paraId="3D3AE6C4" w14:textId="77777777" w:rsidR="00AC46A6" w:rsidRPr="00C81933" w:rsidRDefault="00AC46A6" w:rsidP="00AC46A6">
            <w:pPr>
              <w:pStyle w:val="NoSpacing"/>
              <w:jc w:val="right"/>
              <w:rPr>
                <w:rFonts w:eastAsia="Courier New"/>
                <w:b/>
                <w:sz w:val="16"/>
                <w:szCs w:val="16"/>
                <w:lang w:bidi="ar-SA"/>
              </w:rPr>
            </w:pPr>
            <w:r w:rsidRPr="00C81933">
              <w:rPr>
                <w:rFonts w:eastAsia="Courier New"/>
                <w:b/>
                <w:sz w:val="16"/>
                <w:szCs w:val="16"/>
                <w:lang w:bidi="ru-RU"/>
              </w:rPr>
              <w:t>–$5 752 806 400</w:t>
            </w:r>
          </w:p>
        </w:tc>
        <w:tc>
          <w:tcPr>
            <w:tcW w:w="1345" w:type="dxa"/>
            <w:shd w:val="clear" w:color="auto" w:fill="FFFFFF"/>
            <w:vAlign w:val="bottom"/>
          </w:tcPr>
          <w:p w14:paraId="3D3AE6C5" w14:textId="77777777" w:rsidR="00AC46A6" w:rsidRPr="00C81933" w:rsidRDefault="00AC46A6" w:rsidP="00AC46A6">
            <w:pPr>
              <w:pStyle w:val="NoSpacing"/>
              <w:jc w:val="right"/>
              <w:rPr>
                <w:rFonts w:eastAsia="Courier New"/>
                <w:b/>
                <w:sz w:val="16"/>
                <w:szCs w:val="16"/>
                <w:lang w:bidi="ar-SA"/>
              </w:rPr>
            </w:pPr>
            <w:r w:rsidRPr="00C81933">
              <w:rPr>
                <w:rFonts w:eastAsia="Courier New"/>
                <w:b/>
                <w:sz w:val="16"/>
                <w:szCs w:val="16"/>
                <w:lang w:bidi="ru-RU"/>
              </w:rPr>
              <w:t>63,38%</w:t>
            </w:r>
          </w:p>
        </w:tc>
        <w:tc>
          <w:tcPr>
            <w:tcW w:w="1349" w:type="dxa"/>
            <w:shd w:val="clear" w:color="auto" w:fill="FFFFFF"/>
            <w:vAlign w:val="bottom"/>
          </w:tcPr>
          <w:p w14:paraId="3D3AE6C6" w14:textId="77777777" w:rsidR="00AC46A6" w:rsidRPr="00C81933" w:rsidRDefault="00AC46A6" w:rsidP="00AC46A6">
            <w:pPr>
              <w:pStyle w:val="NoSpacing"/>
              <w:jc w:val="right"/>
              <w:rPr>
                <w:rFonts w:eastAsia="Courier New"/>
                <w:b/>
                <w:sz w:val="16"/>
                <w:szCs w:val="16"/>
                <w:lang w:bidi="ar-SA"/>
              </w:rPr>
            </w:pPr>
            <w:r w:rsidRPr="00C81933">
              <w:rPr>
                <w:rFonts w:eastAsia="Courier New"/>
                <w:b/>
                <w:sz w:val="16"/>
                <w:szCs w:val="16"/>
                <w:lang w:bidi="ru-RU"/>
              </w:rPr>
              <w:t>36,62%</w:t>
            </w:r>
          </w:p>
        </w:tc>
      </w:tr>
      <w:tr w:rsidR="00AC46A6" w:rsidRPr="00AC46A6" w14:paraId="3D3AE6CD" w14:textId="77777777" w:rsidTr="00C81933">
        <w:trPr>
          <w:jc w:val="center"/>
        </w:trPr>
        <w:tc>
          <w:tcPr>
            <w:tcW w:w="5633" w:type="dxa"/>
            <w:gridSpan w:val="2"/>
            <w:shd w:val="clear" w:color="auto" w:fill="FFFFFF"/>
            <w:vAlign w:val="bottom"/>
          </w:tcPr>
          <w:p w14:paraId="3D3AE6C8" w14:textId="77777777" w:rsidR="00AC46A6" w:rsidRPr="00AC46A6" w:rsidRDefault="00AC46A6" w:rsidP="00C81933">
            <w:pPr>
              <w:pStyle w:val="NoSpacing"/>
              <w:spacing w:before="240" w:after="240"/>
              <w:rPr>
                <w:rFonts w:eastAsia="Courier New"/>
                <w:sz w:val="18"/>
                <w:szCs w:val="18"/>
                <w:lang w:bidi="ar-SA"/>
              </w:rPr>
            </w:pPr>
            <w:r w:rsidRPr="00C81933">
              <w:rPr>
                <w:rFonts w:eastAsia="Courier New"/>
                <w:color w:val="0070C0"/>
                <w:sz w:val="18"/>
                <w:lang w:bidi="ru-RU"/>
              </w:rPr>
              <w:t xml:space="preserve">Texas Health Resources — выбранный </w:t>
            </w:r>
            <w:r w:rsidRPr="005C7A45">
              <w:rPr>
                <w:rFonts w:eastAsia="Courier New"/>
                <w:color w:val="0070C0"/>
                <w:sz w:val="18"/>
                <w:lang w:bidi="ru-RU"/>
              </w:rPr>
              <w:t>коэффициент AGB</w:t>
            </w:r>
          </w:p>
        </w:tc>
        <w:tc>
          <w:tcPr>
            <w:tcW w:w="944" w:type="dxa"/>
            <w:shd w:val="clear" w:color="auto" w:fill="FFFFFF"/>
            <w:vAlign w:val="bottom"/>
          </w:tcPr>
          <w:p w14:paraId="3D3AE6C9" w14:textId="77777777" w:rsidR="00AC46A6" w:rsidRPr="00AC46A6" w:rsidRDefault="00AC46A6" w:rsidP="00AC46A6">
            <w:pPr>
              <w:pStyle w:val="NoSpacing"/>
              <w:rPr>
                <w:rFonts w:eastAsia="Courier New"/>
                <w:sz w:val="18"/>
                <w:szCs w:val="18"/>
                <w:lang w:bidi="ar-SA"/>
              </w:rPr>
            </w:pPr>
          </w:p>
        </w:tc>
        <w:tc>
          <w:tcPr>
            <w:tcW w:w="1814" w:type="dxa"/>
            <w:gridSpan w:val="2"/>
            <w:shd w:val="clear" w:color="auto" w:fill="FFFFFF"/>
            <w:vAlign w:val="bottom"/>
          </w:tcPr>
          <w:p w14:paraId="3D3AE6CA" w14:textId="77777777" w:rsidR="00AC46A6" w:rsidRPr="00AC46A6" w:rsidRDefault="00AC46A6" w:rsidP="00AC46A6">
            <w:pPr>
              <w:pStyle w:val="NoSpacing"/>
              <w:rPr>
                <w:rFonts w:eastAsia="Courier New"/>
                <w:sz w:val="18"/>
                <w:szCs w:val="18"/>
                <w:lang w:bidi="ar-SA"/>
              </w:rPr>
            </w:pPr>
          </w:p>
        </w:tc>
        <w:tc>
          <w:tcPr>
            <w:tcW w:w="1345" w:type="dxa"/>
            <w:shd w:val="clear" w:color="auto" w:fill="FFFFFF"/>
            <w:vAlign w:val="bottom"/>
          </w:tcPr>
          <w:p w14:paraId="3D3AE6CB" w14:textId="77777777" w:rsidR="00AC46A6" w:rsidRPr="00AC46A6" w:rsidRDefault="00AC46A6" w:rsidP="00AC46A6">
            <w:pPr>
              <w:pStyle w:val="NoSpacing"/>
              <w:rPr>
                <w:rFonts w:eastAsia="Courier New"/>
                <w:sz w:val="18"/>
                <w:szCs w:val="18"/>
                <w:lang w:bidi="ar-SA"/>
              </w:rPr>
            </w:pPr>
          </w:p>
        </w:tc>
        <w:tc>
          <w:tcPr>
            <w:tcW w:w="1349" w:type="dxa"/>
            <w:shd w:val="clear" w:color="auto" w:fill="FFFFFF"/>
            <w:vAlign w:val="bottom"/>
          </w:tcPr>
          <w:p w14:paraId="3D3AE6CC" w14:textId="77777777" w:rsidR="00AC46A6" w:rsidRPr="00AC46A6" w:rsidRDefault="00AC46A6" w:rsidP="00AC46A6">
            <w:pPr>
              <w:pStyle w:val="NoSpacing"/>
              <w:jc w:val="right"/>
              <w:rPr>
                <w:rFonts w:eastAsia="Courier New"/>
                <w:sz w:val="18"/>
                <w:szCs w:val="18"/>
                <w:lang w:bidi="ar-SA"/>
              </w:rPr>
            </w:pPr>
            <w:r w:rsidRPr="005C7A45">
              <w:rPr>
                <w:rFonts w:eastAsia="Courier New"/>
                <w:color w:val="0070C0"/>
                <w:sz w:val="16"/>
                <w:lang w:bidi="ru-RU"/>
              </w:rPr>
              <w:t>25%***</w:t>
            </w:r>
          </w:p>
        </w:tc>
      </w:tr>
    </w:tbl>
    <w:p w14:paraId="3D3AE6CE" w14:textId="77777777" w:rsidR="00AC46A6" w:rsidRPr="00C81933" w:rsidRDefault="00AC46A6" w:rsidP="00AC46A6">
      <w:pPr>
        <w:pStyle w:val="NoSpacing"/>
        <w:rPr>
          <w:rFonts w:eastAsia="Courier New"/>
          <w:sz w:val="16"/>
          <w:szCs w:val="20"/>
          <w:lang w:bidi="ar-SA"/>
        </w:rPr>
      </w:pPr>
      <w:r w:rsidRPr="00C81933">
        <w:rPr>
          <w:rFonts w:eastAsia="Courier New"/>
          <w:sz w:val="16"/>
          <w:szCs w:val="20"/>
          <w:lang w:bidi="ru-RU"/>
        </w:rPr>
        <w:t>*Все доходы больниц, за исключением: незастрахованного дохода, программ Medicaid и Managed Medicaid — 2014</w:t>
      </w:r>
    </w:p>
    <w:p w14:paraId="3D3AE6CF" w14:textId="77777777" w:rsidR="00AC46A6" w:rsidRPr="00C81933" w:rsidRDefault="00AC46A6" w:rsidP="00AC46A6">
      <w:pPr>
        <w:pStyle w:val="NoSpacing"/>
        <w:rPr>
          <w:rFonts w:eastAsia="Courier New"/>
          <w:sz w:val="16"/>
          <w:szCs w:val="20"/>
          <w:lang w:bidi="ar-SA"/>
        </w:rPr>
      </w:pPr>
      <w:r w:rsidRPr="00C81933">
        <w:rPr>
          <w:rFonts w:eastAsia="Courier New"/>
          <w:sz w:val="16"/>
          <w:szCs w:val="20"/>
          <w:lang w:bidi="ru-RU"/>
        </w:rPr>
        <w:t>** Все скидки для одной и той же группы доходов</w:t>
      </w:r>
    </w:p>
    <w:p w14:paraId="3D3AE6D0" w14:textId="77777777" w:rsidR="00AC46A6" w:rsidRPr="00C81933" w:rsidRDefault="00AC46A6" w:rsidP="00AC46A6">
      <w:pPr>
        <w:pStyle w:val="NoSpacing"/>
        <w:rPr>
          <w:rFonts w:eastAsia="Courier New"/>
          <w:sz w:val="16"/>
          <w:szCs w:val="20"/>
          <w:lang w:bidi="ar-SA"/>
        </w:rPr>
      </w:pPr>
      <w:r w:rsidRPr="00C81933">
        <w:rPr>
          <w:rFonts w:eastAsia="Courier New"/>
          <w:sz w:val="16"/>
          <w:szCs w:val="20"/>
          <w:lang w:bidi="ru-RU"/>
        </w:rPr>
        <w:t>*** THR выбрала AGB в размере 25%, что, невзирая на фактический размер AGB, повлекло за собой наиболее щедрую скидку</w:t>
      </w:r>
      <w:r w:rsidRPr="00C81933">
        <w:rPr>
          <w:rFonts w:eastAsia="Courier New"/>
          <w:sz w:val="16"/>
          <w:szCs w:val="20"/>
          <w:lang w:bidi="ru-RU"/>
        </w:rPr>
        <w:br/>
        <w:t>(один коэффициент AGB для всех учреждений THR, указанных выше и в приложении C (юридические лица, подпадающие под условия политики))</w:t>
      </w:r>
    </w:p>
    <w:sectPr w:rsidR="00AC46A6" w:rsidRPr="00C81933" w:rsidSect="00AC46A6">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AE6D3" w14:textId="77777777" w:rsidR="00944D4F" w:rsidRDefault="00944D4F" w:rsidP="001C2B1C">
      <w:r>
        <w:separator/>
      </w:r>
    </w:p>
  </w:endnote>
  <w:endnote w:type="continuationSeparator" w:id="0">
    <w:p w14:paraId="3D3AE6D4" w14:textId="77777777" w:rsidR="00944D4F" w:rsidRDefault="00944D4F" w:rsidP="001C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AE6DD" w14:textId="77777777" w:rsidR="00F00209" w:rsidRPr="00F00209" w:rsidRDefault="00F00209" w:rsidP="00F00209">
    <w:pPr>
      <w:pStyle w:val="Footer"/>
      <w:jc w:val="right"/>
      <w:rPr>
        <w:sz w:val="18"/>
        <w:lang w:val="en-US"/>
      </w:rPr>
    </w:pPr>
    <w:r>
      <w:rPr>
        <w:sz w:val="18"/>
        <w:lang w:val="en-US"/>
      </w:rPr>
      <w:t>TLC 11/15 THR.DI_</w:t>
    </w:r>
    <w:r w:rsidR="001D002F" w:rsidRPr="001D002F">
      <w:rPr>
        <w:sz w:val="18"/>
        <w:lang w:val="en-US"/>
      </w:rPr>
      <w:t xml:space="preserve"> </w:t>
    </w:r>
    <w:r w:rsidR="001D002F">
      <w:rPr>
        <w:sz w:val="18"/>
        <w:lang w:val="en-US"/>
      </w:rPr>
      <w:t>RUSSIAN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AE6EE" w14:textId="77777777" w:rsidR="00425568" w:rsidRPr="00425568" w:rsidRDefault="00425568" w:rsidP="00425568">
    <w:pPr>
      <w:pStyle w:val="Footer"/>
      <w:jc w:val="right"/>
      <w:rPr>
        <w:sz w:val="18"/>
        <w:lang w:val="en-US"/>
      </w:rPr>
    </w:pPr>
    <w:r>
      <w:rPr>
        <w:sz w:val="18"/>
        <w:lang w:val="en-US"/>
      </w:rPr>
      <w:t>TLC 11/15 THR.DI_RU</w:t>
    </w:r>
    <w:r w:rsidR="001D002F">
      <w:rPr>
        <w:sz w:val="18"/>
        <w:lang w:val="en-US"/>
      </w:rPr>
      <w:t>SSIAN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AE6D1" w14:textId="77777777" w:rsidR="00944D4F" w:rsidRDefault="00944D4F" w:rsidP="001C2B1C">
      <w:r>
        <w:separator/>
      </w:r>
    </w:p>
  </w:footnote>
  <w:footnote w:type="continuationSeparator" w:id="0">
    <w:p w14:paraId="3D3AE6D2" w14:textId="77777777" w:rsidR="00944D4F" w:rsidRDefault="00944D4F" w:rsidP="001C2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AE6D5" w14:textId="77777777" w:rsidR="00AC46A6" w:rsidRPr="00F11F63" w:rsidRDefault="00234E93" w:rsidP="00DB49D8">
    <w:pPr>
      <w:pStyle w:val="NoSpacing"/>
      <w:jc w:val="right"/>
      <w:rPr>
        <w:b/>
        <w:bCs/>
        <w:i/>
        <w:iCs/>
      </w:rPr>
    </w:pPr>
    <w:r>
      <w:rPr>
        <w:b/>
        <w:i/>
        <w:noProof/>
        <w:lang w:val="en-US" w:bidi="ar-SA"/>
      </w:rPr>
      <w:drawing>
        <wp:anchor distT="0" distB="0" distL="114300" distR="114300" simplePos="0" relativeHeight="251666432" behindDoc="0" locked="0" layoutInCell="1" allowOverlap="1" wp14:anchorId="3D3AE6EF" wp14:editId="3D3AE6F0">
          <wp:simplePos x="0" y="0"/>
          <wp:positionH relativeFrom="column">
            <wp:posOffset>-168910</wp:posOffset>
          </wp:positionH>
          <wp:positionV relativeFrom="paragraph">
            <wp:posOffset>-28575</wp:posOffset>
          </wp:positionV>
          <wp:extent cx="2479675" cy="616585"/>
          <wp:effectExtent l="0" t="0" r="0" b="0"/>
          <wp:wrapSquare wrapText="bothSides"/>
          <wp:docPr id="1" name="Picture 4" descr="C:\Users\laugem01\Documents\My Documents\Clients\THR\THR_2.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gem01\Documents\My Documents\Clients\THR\THR_2.23.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AE6D6" w14:textId="77777777" w:rsidR="00AC46A6" w:rsidRDefault="00AC46A6" w:rsidP="00DB49D8">
    <w:pPr>
      <w:pStyle w:val="NoSpacing"/>
      <w:jc w:val="right"/>
    </w:pPr>
    <w:r w:rsidRPr="00F11F63">
      <w:rPr>
        <w:b/>
        <w:i/>
        <w:lang w:bidi="ru-RU"/>
      </w:rPr>
      <w:t>Системные службы – Финансы</w:t>
    </w:r>
  </w:p>
  <w:p w14:paraId="3D3AE6D7" w14:textId="77777777" w:rsidR="00AC46A6" w:rsidRPr="00770BF3" w:rsidRDefault="00770BF3" w:rsidP="00DB49D8">
    <w:pPr>
      <w:pStyle w:val="NoSpacing"/>
      <w:jc w:val="right"/>
      <w:rPr>
        <w:i/>
        <w:lang w:val="en-US"/>
      </w:rPr>
    </w:pPr>
    <w:r>
      <w:rPr>
        <w:i/>
        <w:lang w:val="en-US"/>
      </w:rPr>
      <w:t>System Services – Finance</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770"/>
    </w:tblGrid>
    <w:tr w:rsidR="00AC46A6" w:rsidRPr="0020615D" w14:paraId="3D3AE6D9" w14:textId="77777777" w:rsidTr="003D6086">
      <w:trPr>
        <w:trHeight w:val="144"/>
      </w:trPr>
      <w:tc>
        <w:tcPr>
          <w:tcW w:w="10908" w:type="dxa"/>
        </w:tcPr>
        <w:p w14:paraId="3D3AE6D8" w14:textId="77777777" w:rsidR="00AC46A6" w:rsidRPr="00770BF3" w:rsidRDefault="00AC46A6" w:rsidP="00DB49D8">
          <w:pPr>
            <w:pStyle w:val="NoSpacing"/>
            <w:rPr>
              <w:bCs/>
              <w:i/>
              <w:lang w:val="en-US"/>
            </w:rPr>
          </w:pPr>
          <w:r w:rsidRPr="00DB49D8">
            <w:rPr>
              <w:b/>
              <w:lang w:bidi="ru-RU"/>
            </w:rPr>
            <w:t>Название политики: Политика финансовой помощи</w:t>
          </w:r>
          <w:r w:rsidR="00770BF3">
            <w:rPr>
              <w:lang w:val="en-US" w:bidi="ru-RU"/>
            </w:rPr>
            <w:t xml:space="preserve"> / </w:t>
          </w:r>
          <w:r w:rsidR="00770BF3" w:rsidRPr="00770BF3">
            <w:rPr>
              <w:i/>
              <w:sz w:val="20"/>
              <w:lang w:val="en-US" w:bidi="ru-RU"/>
            </w:rPr>
            <w:t>Policy Name: Financial Assistance Policy</w:t>
          </w:r>
        </w:p>
      </w:tc>
    </w:tr>
    <w:tr w:rsidR="00AC46A6" w:rsidRPr="0020615D" w14:paraId="3D3AE6DB" w14:textId="77777777" w:rsidTr="003D6086">
      <w:trPr>
        <w:trHeight w:val="144"/>
      </w:trPr>
      <w:tc>
        <w:tcPr>
          <w:tcW w:w="10908" w:type="dxa"/>
          <w:vAlign w:val="bottom"/>
        </w:tcPr>
        <w:p w14:paraId="3D3AE6DA" w14:textId="77777777" w:rsidR="00AC46A6" w:rsidRPr="00770BF3" w:rsidRDefault="00AC46A6" w:rsidP="00DB49D8">
          <w:pPr>
            <w:pStyle w:val="NoSpacing"/>
            <w:rPr>
              <w:bCs/>
              <w:lang w:val="en-US"/>
            </w:rPr>
          </w:pPr>
          <w:r w:rsidRPr="00DB49D8">
            <w:rPr>
              <w:b/>
              <w:lang w:bidi="ru-RU"/>
            </w:rPr>
            <w:t xml:space="preserve">Страница </w:t>
          </w:r>
          <w:r w:rsidRPr="00DB49D8">
            <w:rPr>
              <w:b/>
              <w:lang w:bidi="ru-RU"/>
            </w:rPr>
            <w:fldChar w:fldCharType="begin"/>
          </w:r>
          <w:r w:rsidRPr="00DB49D8">
            <w:rPr>
              <w:b/>
              <w:lang w:bidi="ru-RU"/>
            </w:rPr>
            <w:instrText xml:space="preserve"> PAGE </w:instrText>
          </w:r>
          <w:r w:rsidRPr="00DB49D8">
            <w:rPr>
              <w:b/>
              <w:lang w:bidi="ru-RU"/>
            </w:rPr>
            <w:fldChar w:fldCharType="separate"/>
          </w:r>
          <w:r w:rsidR="009F5873">
            <w:rPr>
              <w:b/>
              <w:noProof/>
              <w:lang w:bidi="ru-RU"/>
            </w:rPr>
            <w:t>6</w:t>
          </w:r>
          <w:r w:rsidRPr="00DB49D8">
            <w:rPr>
              <w:b/>
              <w:lang w:bidi="ru-RU"/>
            </w:rPr>
            <w:fldChar w:fldCharType="end"/>
          </w:r>
          <w:r w:rsidRPr="00DB49D8">
            <w:rPr>
              <w:b/>
              <w:lang w:bidi="ru-RU"/>
            </w:rPr>
            <w:t xml:space="preserve"> из </w:t>
          </w:r>
          <w:r w:rsidRPr="00DB49D8">
            <w:rPr>
              <w:b/>
              <w:lang w:bidi="ru-RU"/>
            </w:rPr>
            <w:fldChar w:fldCharType="begin"/>
          </w:r>
          <w:r w:rsidRPr="00DB49D8">
            <w:rPr>
              <w:b/>
              <w:lang w:bidi="ru-RU"/>
            </w:rPr>
            <w:instrText xml:space="preserve"> NUMPAGES  \* Arabic  \* MERGEFORMAT </w:instrText>
          </w:r>
          <w:r w:rsidRPr="00DB49D8">
            <w:rPr>
              <w:b/>
              <w:lang w:bidi="ru-RU"/>
            </w:rPr>
            <w:fldChar w:fldCharType="separate"/>
          </w:r>
          <w:r w:rsidR="009F5873">
            <w:rPr>
              <w:b/>
              <w:noProof/>
              <w:lang w:bidi="ru-RU"/>
            </w:rPr>
            <w:t>26</w:t>
          </w:r>
          <w:r w:rsidRPr="00DB49D8">
            <w:rPr>
              <w:b/>
              <w:lang w:bidi="ru-RU"/>
            </w:rPr>
            <w:fldChar w:fldCharType="end"/>
          </w:r>
          <w:r w:rsidR="00770BF3">
            <w:rPr>
              <w:lang w:val="en-US" w:bidi="ru-RU"/>
            </w:rPr>
            <w:t xml:space="preserve"> / </w:t>
          </w:r>
          <w:r w:rsidR="00770BF3" w:rsidRPr="00770BF3">
            <w:rPr>
              <w:i/>
              <w:sz w:val="20"/>
              <w:lang w:bidi="ru-RU"/>
            </w:rPr>
            <w:t xml:space="preserve">Page </w:t>
          </w:r>
          <w:r w:rsidR="00770BF3" w:rsidRPr="00770BF3">
            <w:rPr>
              <w:i/>
              <w:sz w:val="20"/>
              <w:lang w:bidi="ru-RU"/>
            </w:rPr>
            <w:fldChar w:fldCharType="begin"/>
          </w:r>
          <w:r w:rsidR="00770BF3" w:rsidRPr="00770BF3">
            <w:rPr>
              <w:i/>
              <w:sz w:val="20"/>
              <w:lang w:bidi="ru-RU"/>
            </w:rPr>
            <w:instrText xml:space="preserve"> PAGE </w:instrText>
          </w:r>
          <w:r w:rsidR="00770BF3" w:rsidRPr="00770BF3">
            <w:rPr>
              <w:i/>
              <w:sz w:val="20"/>
              <w:lang w:bidi="ru-RU"/>
            </w:rPr>
            <w:fldChar w:fldCharType="separate"/>
          </w:r>
          <w:r w:rsidR="009F5873">
            <w:rPr>
              <w:i/>
              <w:noProof/>
              <w:sz w:val="20"/>
              <w:lang w:bidi="ru-RU"/>
            </w:rPr>
            <w:t>6</w:t>
          </w:r>
          <w:r w:rsidR="00770BF3" w:rsidRPr="00770BF3">
            <w:rPr>
              <w:i/>
              <w:sz w:val="20"/>
              <w:lang w:bidi="ru-RU"/>
            </w:rPr>
            <w:fldChar w:fldCharType="end"/>
          </w:r>
          <w:r w:rsidR="00770BF3" w:rsidRPr="00770BF3">
            <w:rPr>
              <w:i/>
              <w:sz w:val="20"/>
              <w:lang w:bidi="ru-RU"/>
            </w:rPr>
            <w:t xml:space="preserve"> of </w:t>
          </w:r>
          <w:r w:rsidR="00770BF3" w:rsidRPr="00770BF3">
            <w:rPr>
              <w:i/>
              <w:sz w:val="20"/>
              <w:lang w:bidi="ru-RU"/>
            </w:rPr>
            <w:fldChar w:fldCharType="begin"/>
          </w:r>
          <w:r w:rsidR="00770BF3" w:rsidRPr="00770BF3">
            <w:rPr>
              <w:i/>
              <w:sz w:val="20"/>
              <w:lang w:bidi="ru-RU"/>
            </w:rPr>
            <w:instrText xml:space="preserve"> NUMPAGES  \* Arabic  \* MERGEFORMAT </w:instrText>
          </w:r>
          <w:r w:rsidR="00770BF3" w:rsidRPr="00770BF3">
            <w:rPr>
              <w:i/>
              <w:sz w:val="20"/>
              <w:lang w:bidi="ru-RU"/>
            </w:rPr>
            <w:fldChar w:fldCharType="separate"/>
          </w:r>
          <w:r w:rsidR="009F5873">
            <w:rPr>
              <w:i/>
              <w:noProof/>
              <w:sz w:val="20"/>
              <w:lang w:bidi="ru-RU"/>
            </w:rPr>
            <w:t>26</w:t>
          </w:r>
          <w:r w:rsidR="00770BF3" w:rsidRPr="00770BF3">
            <w:rPr>
              <w:i/>
              <w:sz w:val="20"/>
              <w:lang w:bidi="ru-RU"/>
            </w:rPr>
            <w:fldChar w:fldCharType="end"/>
          </w:r>
        </w:p>
      </w:tc>
    </w:tr>
  </w:tbl>
  <w:p w14:paraId="3D3AE6DC" w14:textId="77777777" w:rsidR="00AC46A6" w:rsidRPr="009E457C" w:rsidRDefault="00AC46A6" w:rsidP="009E457C">
    <w:pPr>
      <w:pStyle w:val="NoSpacing"/>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AE6DE" w14:textId="77777777" w:rsidR="00AC46A6" w:rsidRPr="00E6418C" w:rsidRDefault="00234E93" w:rsidP="00DB49D8">
    <w:pPr>
      <w:pStyle w:val="NoSpacing"/>
      <w:jc w:val="right"/>
      <w:rPr>
        <w:szCs w:val="22"/>
      </w:rPr>
    </w:pPr>
    <w:r>
      <w:rPr>
        <w:noProof/>
        <w:lang w:val="en-US" w:bidi="ar-SA"/>
      </w:rPr>
      <w:drawing>
        <wp:anchor distT="0" distB="0" distL="114300" distR="114300" simplePos="0" relativeHeight="251673600" behindDoc="0" locked="0" layoutInCell="1" allowOverlap="1" wp14:anchorId="3D3AE6F1" wp14:editId="3D3AE6F2">
          <wp:simplePos x="0" y="0"/>
          <wp:positionH relativeFrom="column">
            <wp:posOffset>-204470</wp:posOffset>
          </wp:positionH>
          <wp:positionV relativeFrom="paragraph">
            <wp:posOffset>-233680</wp:posOffset>
          </wp:positionV>
          <wp:extent cx="2479675" cy="616585"/>
          <wp:effectExtent l="0" t="0" r="0" b="0"/>
          <wp:wrapNone/>
          <wp:docPr id="2" name="Picture 4" descr="C:\Users\laugem01\Documents\My Documents\Clients\THR\THR_2.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gem01\Documents\My Documents\Clients\THR\THR_2.23.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AE6DF" w14:textId="77777777" w:rsidR="00AC46A6" w:rsidRPr="0045373A" w:rsidRDefault="00AC46A6" w:rsidP="00DB49D8">
    <w:pPr>
      <w:pStyle w:val="NoSpacing"/>
      <w:jc w:val="right"/>
      <w:rPr>
        <w:bCs/>
        <w:lang w:val="en-US"/>
      </w:rPr>
    </w:pPr>
    <w:r w:rsidRPr="00DB49D8">
      <w:rPr>
        <w:b/>
        <w:i/>
        <w:lang w:bidi="ru-RU"/>
      </w:rPr>
      <w:t>Системные службы – Финансы</w:t>
    </w:r>
    <w:r w:rsidR="0045373A">
      <w:rPr>
        <w:b/>
        <w:i/>
        <w:lang w:bidi="ru-RU"/>
      </w:rPr>
      <w:br/>
    </w:r>
    <w:r w:rsidR="0045373A">
      <w:rPr>
        <w:i/>
        <w:lang w:val="en-US" w:bidi="ru-RU"/>
      </w:rPr>
      <w:t>System Services – Finance</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532"/>
      <w:gridCol w:w="4238"/>
    </w:tblGrid>
    <w:tr w:rsidR="00AC46A6" w:rsidRPr="0020615D" w14:paraId="3D3AE6E1" w14:textId="77777777" w:rsidTr="0069012A">
      <w:trPr>
        <w:trHeight w:val="432"/>
      </w:trPr>
      <w:tc>
        <w:tcPr>
          <w:tcW w:w="10998" w:type="dxa"/>
          <w:gridSpan w:val="2"/>
          <w:vAlign w:val="bottom"/>
        </w:tcPr>
        <w:p w14:paraId="3D3AE6E0" w14:textId="77777777" w:rsidR="00AC46A6" w:rsidRPr="0045373A" w:rsidRDefault="00AC46A6" w:rsidP="0069012A">
          <w:pPr>
            <w:pStyle w:val="NoSpacing"/>
            <w:spacing w:after="120"/>
            <w:rPr>
              <w:bCs/>
              <w:sz w:val="20"/>
              <w:szCs w:val="20"/>
              <w:lang w:val="en-US"/>
            </w:rPr>
          </w:pPr>
          <w:r w:rsidRPr="0069012A">
            <w:rPr>
              <w:b/>
              <w:sz w:val="20"/>
              <w:szCs w:val="20"/>
              <w:lang w:bidi="ru-RU"/>
            </w:rPr>
            <w:t>Название политики: Политика финансовой помощи</w:t>
          </w:r>
          <w:r w:rsidR="0045373A">
            <w:rPr>
              <w:sz w:val="20"/>
              <w:szCs w:val="20"/>
              <w:lang w:val="en-US" w:bidi="ru-RU"/>
            </w:rPr>
            <w:t xml:space="preserve"> / </w:t>
          </w:r>
          <w:r w:rsidR="0045373A" w:rsidRPr="0045373A">
            <w:rPr>
              <w:sz w:val="18"/>
              <w:szCs w:val="20"/>
              <w:lang w:val="en-US" w:bidi="ru-RU"/>
            </w:rPr>
            <w:t>Policy Name: Financial Assistance Policy</w:t>
          </w:r>
        </w:p>
      </w:tc>
    </w:tr>
    <w:tr w:rsidR="00AC46A6" w:rsidRPr="00B37F74" w14:paraId="3D3AE6E5" w14:textId="77777777" w:rsidTr="0069012A">
      <w:trPr>
        <w:trHeight w:val="432"/>
      </w:trPr>
      <w:tc>
        <w:tcPr>
          <w:tcW w:w="6678" w:type="dxa"/>
        </w:tcPr>
        <w:p w14:paraId="3D3AE6E2" w14:textId="77777777" w:rsidR="00AC46A6" w:rsidRPr="0069012A" w:rsidRDefault="00AC46A6" w:rsidP="00DB49D8">
          <w:pPr>
            <w:pStyle w:val="NoSpacing"/>
            <w:rPr>
              <w:b/>
              <w:bCs/>
              <w:sz w:val="20"/>
              <w:szCs w:val="20"/>
            </w:rPr>
          </w:pPr>
          <w:r w:rsidRPr="0069012A">
            <w:rPr>
              <w:b/>
              <w:sz w:val="20"/>
              <w:szCs w:val="20"/>
              <w:lang w:bidi="ru-RU"/>
            </w:rPr>
            <w:t>Владелец политики</w:t>
          </w:r>
          <w:r w:rsidR="0045373A">
            <w:rPr>
              <w:sz w:val="20"/>
              <w:szCs w:val="20"/>
              <w:lang w:val="en-US" w:bidi="ru-RU"/>
            </w:rPr>
            <w:t> </w:t>
          </w:r>
          <w:r w:rsidR="0045373A" w:rsidRPr="0045373A">
            <w:rPr>
              <w:sz w:val="20"/>
              <w:szCs w:val="20"/>
              <w:lang w:bidi="ru-RU"/>
            </w:rPr>
            <w:t xml:space="preserve">/ </w:t>
          </w:r>
          <w:r w:rsidR="0045373A" w:rsidRPr="0045373A">
            <w:rPr>
              <w:i/>
              <w:sz w:val="18"/>
              <w:szCs w:val="20"/>
              <w:lang w:val="en-US" w:bidi="ru-RU"/>
            </w:rPr>
            <w:t>Policy</w:t>
          </w:r>
          <w:r w:rsidR="0045373A" w:rsidRPr="0045373A">
            <w:rPr>
              <w:i/>
              <w:sz w:val="18"/>
              <w:szCs w:val="20"/>
              <w:lang w:bidi="ru-RU"/>
            </w:rPr>
            <w:t xml:space="preserve"> </w:t>
          </w:r>
          <w:r w:rsidR="0045373A" w:rsidRPr="0045373A">
            <w:rPr>
              <w:i/>
              <w:sz w:val="18"/>
              <w:szCs w:val="20"/>
              <w:lang w:val="en-US" w:bidi="ru-RU"/>
            </w:rPr>
            <w:t>Owner</w:t>
          </w:r>
          <w:r w:rsidRPr="0069012A">
            <w:rPr>
              <w:b/>
              <w:sz w:val="20"/>
              <w:szCs w:val="20"/>
              <w:lang w:bidi="ru-RU"/>
            </w:rPr>
            <w:t>:</w:t>
          </w:r>
        </w:p>
        <w:p w14:paraId="3D3AE6E3" w14:textId="77777777" w:rsidR="00AC46A6" w:rsidRPr="0045373A" w:rsidRDefault="00AC46A6" w:rsidP="00DB49D8">
          <w:pPr>
            <w:pStyle w:val="NoSpacing"/>
            <w:rPr>
              <w:i/>
              <w:sz w:val="20"/>
              <w:szCs w:val="20"/>
            </w:rPr>
          </w:pPr>
          <w:r w:rsidRPr="0069012A">
            <w:rPr>
              <w:sz w:val="20"/>
              <w:szCs w:val="20"/>
              <w:lang w:bidi="ru-RU"/>
            </w:rPr>
            <w:t>Вице-президент по операциям, связа</w:t>
          </w:r>
          <w:r w:rsidR="0045373A">
            <w:rPr>
              <w:sz w:val="20"/>
              <w:szCs w:val="20"/>
              <w:lang w:bidi="ru-RU"/>
            </w:rPr>
            <w:t xml:space="preserve">нным с циклами получения дохода / </w:t>
          </w:r>
          <w:r w:rsidR="0045373A" w:rsidRPr="0045373A">
            <w:rPr>
              <w:i/>
              <w:sz w:val="18"/>
              <w:szCs w:val="20"/>
              <w:lang w:val="en-US" w:bidi="ru-RU"/>
            </w:rPr>
            <w:t>Vice</w:t>
          </w:r>
          <w:r w:rsidR="0045373A" w:rsidRPr="0045373A">
            <w:rPr>
              <w:i/>
              <w:sz w:val="18"/>
              <w:szCs w:val="20"/>
              <w:lang w:bidi="ru-RU"/>
            </w:rPr>
            <w:t xml:space="preserve"> </w:t>
          </w:r>
          <w:r w:rsidR="0045373A" w:rsidRPr="0045373A">
            <w:rPr>
              <w:i/>
              <w:sz w:val="18"/>
              <w:szCs w:val="20"/>
              <w:lang w:val="en-US" w:bidi="ru-RU"/>
            </w:rPr>
            <w:t>President</w:t>
          </w:r>
          <w:r w:rsidR="0045373A" w:rsidRPr="0045373A">
            <w:rPr>
              <w:i/>
              <w:sz w:val="18"/>
              <w:szCs w:val="20"/>
              <w:lang w:bidi="ru-RU"/>
            </w:rPr>
            <w:t xml:space="preserve"> </w:t>
          </w:r>
          <w:r w:rsidR="0045373A" w:rsidRPr="0045373A">
            <w:rPr>
              <w:i/>
              <w:sz w:val="18"/>
              <w:szCs w:val="20"/>
              <w:lang w:val="en-US" w:bidi="ru-RU"/>
            </w:rPr>
            <w:t>Revenue</w:t>
          </w:r>
          <w:r w:rsidR="0045373A" w:rsidRPr="0045373A">
            <w:rPr>
              <w:i/>
              <w:sz w:val="18"/>
              <w:szCs w:val="20"/>
              <w:lang w:bidi="ru-RU"/>
            </w:rPr>
            <w:t xml:space="preserve"> </w:t>
          </w:r>
          <w:r w:rsidR="0045373A" w:rsidRPr="0045373A">
            <w:rPr>
              <w:i/>
              <w:sz w:val="18"/>
              <w:szCs w:val="20"/>
              <w:lang w:val="en-US" w:bidi="ru-RU"/>
            </w:rPr>
            <w:t>Cycle</w:t>
          </w:r>
        </w:p>
      </w:tc>
      <w:tc>
        <w:tcPr>
          <w:tcW w:w="4320" w:type="dxa"/>
        </w:tcPr>
        <w:p w14:paraId="3D3AE6E4" w14:textId="77777777" w:rsidR="00AC46A6" w:rsidRPr="0069012A" w:rsidRDefault="00AC46A6" w:rsidP="00DB49D8">
          <w:pPr>
            <w:pStyle w:val="NoSpacing"/>
            <w:rPr>
              <w:b/>
              <w:bCs/>
              <w:sz w:val="20"/>
              <w:szCs w:val="20"/>
            </w:rPr>
          </w:pPr>
          <w:r w:rsidRPr="0069012A">
            <w:rPr>
              <w:b/>
              <w:sz w:val="20"/>
              <w:szCs w:val="20"/>
              <w:lang w:bidi="ru-RU"/>
            </w:rPr>
            <w:t>Дата вступления в силу</w:t>
          </w:r>
          <w:r w:rsidR="0045373A">
            <w:rPr>
              <w:sz w:val="20"/>
              <w:szCs w:val="20"/>
              <w:lang w:val="en-US" w:bidi="ru-RU"/>
            </w:rPr>
            <w:t xml:space="preserve"> / </w:t>
          </w:r>
          <w:r w:rsidR="0045373A">
            <w:rPr>
              <w:i/>
              <w:sz w:val="20"/>
              <w:szCs w:val="20"/>
              <w:lang w:val="en-US" w:bidi="ru-RU"/>
            </w:rPr>
            <w:t>Effective Date</w:t>
          </w:r>
          <w:r w:rsidRPr="0069012A">
            <w:rPr>
              <w:b/>
              <w:sz w:val="20"/>
              <w:szCs w:val="20"/>
              <w:lang w:bidi="ru-RU"/>
            </w:rPr>
            <w:t>:</w:t>
          </w:r>
        </w:p>
      </w:tc>
    </w:tr>
    <w:tr w:rsidR="00AC46A6" w:rsidRPr="00B37F74" w14:paraId="3D3AE6EA" w14:textId="77777777" w:rsidTr="0069012A">
      <w:trPr>
        <w:trHeight w:val="432"/>
      </w:trPr>
      <w:tc>
        <w:tcPr>
          <w:tcW w:w="6678" w:type="dxa"/>
          <w:vAlign w:val="bottom"/>
        </w:tcPr>
        <w:p w14:paraId="3D3AE6E6" w14:textId="77777777" w:rsidR="00AC46A6" w:rsidRPr="0069012A" w:rsidRDefault="00AC46A6" w:rsidP="00DB49D8">
          <w:pPr>
            <w:pStyle w:val="NoSpacing"/>
            <w:rPr>
              <w:b/>
              <w:bCs/>
              <w:sz w:val="20"/>
              <w:szCs w:val="20"/>
            </w:rPr>
          </w:pPr>
          <w:r w:rsidRPr="0069012A">
            <w:rPr>
              <w:b/>
              <w:sz w:val="20"/>
              <w:szCs w:val="20"/>
              <w:lang w:bidi="ru-RU"/>
            </w:rPr>
            <w:t>Одобрено</w:t>
          </w:r>
          <w:r w:rsidR="0045373A">
            <w:rPr>
              <w:sz w:val="20"/>
              <w:szCs w:val="20"/>
              <w:lang w:val="en-US" w:bidi="ru-RU"/>
            </w:rPr>
            <w:t xml:space="preserve"> / </w:t>
          </w:r>
          <w:r w:rsidR="0045373A" w:rsidRPr="0045373A">
            <w:rPr>
              <w:i/>
              <w:sz w:val="18"/>
              <w:szCs w:val="20"/>
              <w:lang w:val="en-US" w:bidi="ru-RU"/>
            </w:rPr>
            <w:t>Approved By</w:t>
          </w:r>
          <w:r w:rsidRPr="0069012A">
            <w:rPr>
              <w:b/>
              <w:sz w:val="20"/>
              <w:szCs w:val="20"/>
              <w:lang w:bidi="ru-RU"/>
            </w:rPr>
            <w:t>:</w:t>
          </w:r>
        </w:p>
        <w:p w14:paraId="3D3AE6E7" w14:textId="77777777" w:rsidR="00AC46A6" w:rsidRPr="0045373A" w:rsidRDefault="00AC46A6" w:rsidP="00DB49D8">
          <w:pPr>
            <w:pStyle w:val="NoSpacing"/>
            <w:rPr>
              <w:i/>
              <w:sz w:val="20"/>
              <w:szCs w:val="20"/>
              <w:lang w:val="en-US"/>
            </w:rPr>
          </w:pPr>
          <w:r w:rsidRPr="0069012A">
            <w:rPr>
              <w:sz w:val="20"/>
              <w:szCs w:val="20"/>
              <w:lang w:bidi="ru-RU"/>
            </w:rPr>
            <w:t>Комитетом по аудиту и соблюдению требований Texas Health</w:t>
          </w:r>
          <w:r w:rsidR="0045373A">
            <w:rPr>
              <w:sz w:val="20"/>
              <w:szCs w:val="20"/>
              <w:lang w:val="en-US" w:bidi="ru-RU"/>
            </w:rPr>
            <w:br/>
          </w:r>
          <w:r w:rsidR="0045373A" w:rsidRPr="0045373A">
            <w:rPr>
              <w:i/>
              <w:sz w:val="18"/>
              <w:szCs w:val="20"/>
              <w:lang w:val="en-US" w:bidi="ru-RU"/>
            </w:rPr>
            <w:t>Texas Health Audit &amp; Compliance Committee</w:t>
          </w:r>
        </w:p>
      </w:tc>
      <w:tc>
        <w:tcPr>
          <w:tcW w:w="4320" w:type="dxa"/>
        </w:tcPr>
        <w:p w14:paraId="3D3AE6E8" w14:textId="77777777" w:rsidR="004B089A" w:rsidRPr="0069012A" w:rsidRDefault="00AC46A6" w:rsidP="00DB49D8">
          <w:pPr>
            <w:pStyle w:val="NoSpacing"/>
            <w:rPr>
              <w:b/>
              <w:bCs/>
              <w:sz w:val="20"/>
              <w:szCs w:val="20"/>
            </w:rPr>
          </w:pPr>
          <w:r w:rsidRPr="0069012A">
            <w:rPr>
              <w:b/>
              <w:sz w:val="20"/>
              <w:szCs w:val="20"/>
              <w:lang w:bidi="ru-RU"/>
            </w:rPr>
            <w:t>Дата последней редакции</w:t>
          </w:r>
          <w:r w:rsidR="0045373A">
            <w:rPr>
              <w:sz w:val="20"/>
              <w:szCs w:val="20"/>
              <w:lang w:val="en-US" w:bidi="ru-RU"/>
            </w:rPr>
            <w:br/>
          </w:r>
          <w:r w:rsidR="0045373A">
            <w:rPr>
              <w:i/>
              <w:sz w:val="20"/>
              <w:szCs w:val="20"/>
              <w:lang w:val="en-US" w:bidi="ru-RU"/>
            </w:rPr>
            <w:t>Last Reviewed Date</w:t>
          </w:r>
          <w:r w:rsidRPr="0069012A">
            <w:rPr>
              <w:b/>
              <w:sz w:val="20"/>
              <w:szCs w:val="20"/>
              <w:lang w:bidi="ru-RU"/>
            </w:rPr>
            <w:t>:</w:t>
          </w:r>
        </w:p>
        <w:p w14:paraId="3D3AE6E9" w14:textId="77777777" w:rsidR="00AC46A6" w:rsidRPr="0069012A" w:rsidRDefault="00AC46A6" w:rsidP="00DB49D8">
          <w:pPr>
            <w:pStyle w:val="NoSpacing"/>
            <w:rPr>
              <w:sz w:val="20"/>
              <w:szCs w:val="20"/>
            </w:rPr>
          </w:pPr>
          <w:r w:rsidRPr="0069012A">
            <w:rPr>
              <w:sz w:val="20"/>
              <w:szCs w:val="20"/>
              <w:lang w:bidi="ru-RU"/>
            </w:rPr>
            <w:fldChar w:fldCharType="begin"/>
          </w:r>
          <w:r w:rsidRPr="0069012A">
            <w:rPr>
              <w:sz w:val="20"/>
              <w:szCs w:val="20"/>
              <w:lang w:bidi="ru-RU"/>
            </w:rPr>
            <w:instrText xml:space="preserve"> DOCVARIABLE "Effective Date" \* MERGEFORMAT </w:instrText>
          </w:r>
          <w:r w:rsidRPr="0069012A">
            <w:rPr>
              <w:sz w:val="20"/>
              <w:szCs w:val="20"/>
              <w:lang w:bidi="ru-RU"/>
            </w:rPr>
            <w:fldChar w:fldCharType="separate"/>
          </w:r>
          <w:r w:rsidRPr="0069012A">
            <w:rPr>
              <w:sz w:val="20"/>
              <w:szCs w:val="20"/>
              <w:lang w:bidi="ru-RU"/>
            </w:rPr>
            <w:t>06/19/2013</w:t>
          </w:r>
          <w:r w:rsidRPr="0069012A">
            <w:rPr>
              <w:sz w:val="20"/>
              <w:szCs w:val="20"/>
              <w:lang w:bidi="ru-RU"/>
            </w:rPr>
            <w:fldChar w:fldCharType="end"/>
          </w:r>
        </w:p>
      </w:tc>
    </w:tr>
    <w:tr w:rsidR="00AC46A6" w:rsidRPr="0020615D" w14:paraId="3D3AE6EC" w14:textId="77777777" w:rsidTr="0069012A">
      <w:trPr>
        <w:trHeight w:val="20"/>
      </w:trPr>
      <w:tc>
        <w:tcPr>
          <w:tcW w:w="10998" w:type="dxa"/>
          <w:gridSpan w:val="2"/>
          <w:vAlign w:val="bottom"/>
        </w:tcPr>
        <w:p w14:paraId="3D3AE6EB" w14:textId="77777777" w:rsidR="00AC46A6" w:rsidRPr="0045373A" w:rsidRDefault="00AC46A6" w:rsidP="00DB49D8">
          <w:pPr>
            <w:pStyle w:val="NoSpacing"/>
            <w:rPr>
              <w:b/>
              <w:bCs/>
              <w:sz w:val="20"/>
              <w:szCs w:val="20"/>
              <w:lang w:val="en-US"/>
            </w:rPr>
          </w:pPr>
          <w:r w:rsidRPr="0069012A">
            <w:rPr>
              <w:b/>
              <w:sz w:val="20"/>
              <w:szCs w:val="20"/>
              <w:lang w:bidi="ru-RU"/>
            </w:rPr>
            <w:t xml:space="preserve">Страница </w:t>
          </w:r>
          <w:r w:rsidRPr="0069012A">
            <w:rPr>
              <w:b/>
              <w:sz w:val="20"/>
              <w:szCs w:val="20"/>
              <w:lang w:bidi="ru-RU"/>
            </w:rPr>
            <w:fldChar w:fldCharType="begin"/>
          </w:r>
          <w:r w:rsidRPr="0069012A">
            <w:rPr>
              <w:b/>
              <w:sz w:val="20"/>
              <w:szCs w:val="20"/>
              <w:lang w:bidi="ru-RU"/>
            </w:rPr>
            <w:instrText xml:space="preserve"> PAGE </w:instrText>
          </w:r>
          <w:r w:rsidRPr="0069012A">
            <w:rPr>
              <w:b/>
              <w:sz w:val="20"/>
              <w:szCs w:val="20"/>
              <w:lang w:bidi="ru-RU"/>
            </w:rPr>
            <w:fldChar w:fldCharType="separate"/>
          </w:r>
          <w:r w:rsidR="009F5873">
            <w:rPr>
              <w:b/>
              <w:noProof/>
              <w:sz w:val="20"/>
              <w:szCs w:val="20"/>
              <w:lang w:bidi="ru-RU"/>
            </w:rPr>
            <w:t>1</w:t>
          </w:r>
          <w:r w:rsidRPr="0069012A">
            <w:rPr>
              <w:b/>
              <w:sz w:val="20"/>
              <w:szCs w:val="20"/>
              <w:lang w:bidi="ru-RU"/>
            </w:rPr>
            <w:fldChar w:fldCharType="end"/>
          </w:r>
          <w:r w:rsidRPr="0069012A">
            <w:rPr>
              <w:b/>
              <w:sz w:val="20"/>
              <w:szCs w:val="20"/>
              <w:lang w:bidi="ru-RU"/>
            </w:rPr>
            <w:t xml:space="preserve"> из </w:t>
          </w:r>
          <w:r w:rsidRPr="0069012A">
            <w:rPr>
              <w:b/>
              <w:sz w:val="20"/>
              <w:szCs w:val="20"/>
              <w:lang w:bidi="ru-RU"/>
            </w:rPr>
            <w:fldChar w:fldCharType="begin"/>
          </w:r>
          <w:r w:rsidRPr="0069012A">
            <w:rPr>
              <w:b/>
              <w:sz w:val="20"/>
              <w:szCs w:val="20"/>
              <w:lang w:bidi="ru-RU"/>
            </w:rPr>
            <w:instrText xml:space="preserve"> NUMPAGES  \* Arabic  \* MERGEFORMAT </w:instrText>
          </w:r>
          <w:r w:rsidRPr="0069012A">
            <w:rPr>
              <w:b/>
              <w:sz w:val="20"/>
              <w:szCs w:val="20"/>
              <w:lang w:bidi="ru-RU"/>
            </w:rPr>
            <w:fldChar w:fldCharType="separate"/>
          </w:r>
          <w:r w:rsidR="009F5873">
            <w:rPr>
              <w:b/>
              <w:noProof/>
              <w:sz w:val="20"/>
              <w:szCs w:val="20"/>
              <w:lang w:bidi="ru-RU"/>
            </w:rPr>
            <w:t>26</w:t>
          </w:r>
          <w:r w:rsidRPr="0069012A">
            <w:rPr>
              <w:b/>
              <w:sz w:val="20"/>
              <w:szCs w:val="20"/>
              <w:lang w:bidi="ru-RU"/>
            </w:rPr>
            <w:fldChar w:fldCharType="end"/>
          </w:r>
          <w:r w:rsidR="0045373A">
            <w:rPr>
              <w:b/>
              <w:sz w:val="20"/>
              <w:szCs w:val="20"/>
              <w:lang w:val="en-US" w:bidi="ru-RU"/>
            </w:rPr>
            <w:t xml:space="preserve"> / </w:t>
          </w:r>
          <w:r w:rsidR="0045373A" w:rsidRPr="0045373A">
            <w:rPr>
              <w:i/>
              <w:sz w:val="18"/>
              <w:szCs w:val="20"/>
              <w:lang w:bidi="ru-RU"/>
            </w:rPr>
            <w:t xml:space="preserve">Page </w:t>
          </w:r>
          <w:r w:rsidR="0045373A" w:rsidRPr="0045373A">
            <w:rPr>
              <w:i/>
              <w:sz w:val="18"/>
              <w:szCs w:val="20"/>
              <w:lang w:bidi="ru-RU"/>
            </w:rPr>
            <w:fldChar w:fldCharType="begin"/>
          </w:r>
          <w:r w:rsidR="0045373A" w:rsidRPr="0045373A">
            <w:rPr>
              <w:i/>
              <w:sz w:val="18"/>
              <w:szCs w:val="20"/>
              <w:lang w:bidi="ru-RU"/>
            </w:rPr>
            <w:instrText xml:space="preserve"> PAGE </w:instrText>
          </w:r>
          <w:r w:rsidR="0045373A" w:rsidRPr="0045373A">
            <w:rPr>
              <w:i/>
              <w:sz w:val="18"/>
              <w:szCs w:val="20"/>
              <w:lang w:bidi="ru-RU"/>
            </w:rPr>
            <w:fldChar w:fldCharType="separate"/>
          </w:r>
          <w:r w:rsidR="009F5873">
            <w:rPr>
              <w:i/>
              <w:noProof/>
              <w:sz w:val="18"/>
              <w:szCs w:val="20"/>
              <w:lang w:bidi="ru-RU"/>
            </w:rPr>
            <w:t>1</w:t>
          </w:r>
          <w:r w:rsidR="0045373A" w:rsidRPr="0045373A">
            <w:rPr>
              <w:i/>
              <w:sz w:val="18"/>
              <w:szCs w:val="20"/>
              <w:lang w:bidi="ru-RU"/>
            </w:rPr>
            <w:fldChar w:fldCharType="end"/>
          </w:r>
          <w:r w:rsidR="0045373A" w:rsidRPr="0045373A">
            <w:rPr>
              <w:i/>
              <w:sz w:val="18"/>
              <w:szCs w:val="20"/>
              <w:lang w:bidi="ru-RU"/>
            </w:rPr>
            <w:t xml:space="preserve"> of </w:t>
          </w:r>
          <w:r w:rsidR="0045373A" w:rsidRPr="0045373A">
            <w:rPr>
              <w:i/>
              <w:sz w:val="18"/>
              <w:szCs w:val="20"/>
              <w:lang w:bidi="ru-RU"/>
            </w:rPr>
            <w:fldChar w:fldCharType="begin"/>
          </w:r>
          <w:r w:rsidR="0045373A" w:rsidRPr="0045373A">
            <w:rPr>
              <w:i/>
              <w:sz w:val="18"/>
              <w:szCs w:val="20"/>
              <w:lang w:bidi="ru-RU"/>
            </w:rPr>
            <w:instrText xml:space="preserve"> NUMPAGES  \* Arabic  \* MERGEFORMAT </w:instrText>
          </w:r>
          <w:r w:rsidR="0045373A" w:rsidRPr="0045373A">
            <w:rPr>
              <w:i/>
              <w:sz w:val="18"/>
              <w:szCs w:val="20"/>
              <w:lang w:bidi="ru-RU"/>
            </w:rPr>
            <w:fldChar w:fldCharType="separate"/>
          </w:r>
          <w:r w:rsidR="009F5873">
            <w:rPr>
              <w:i/>
              <w:noProof/>
              <w:sz w:val="18"/>
              <w:szCs w:val="20"/>
              <w:lang w:bidi="ru-RU"/>
            </w:rPr>
            <w:t>26</w:t>
          </w:r>
          <w:r w:rsidR="0045373A" w:rsidRPr="0045373A">
            <w:rPr>
              <w:i/>
              <w:sz w:val="18"/>
              <w:szCs w:val="20"/>
              <w:lang w:bidi="ru-RU"/>
            </w:rPr>
            <w:fldChar w:fldCharType="end"/>
          </w:r>
        </w:p>
      </w:tc>
    </w:tr>
  </w:tbl>
  <w:p w14:paraId="3D3AE6ED" w14:textId="77777777" w:rsidR="00AC46A6" w:rsidRPr="0069012A" w:rsidRDefault="00AC46A6" w:rsidP="0069012A">
    <w:pPr>
      <w:pStyle w:val="NoSpacing"/>
      <w:rPr>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05E"/>
    <w:multiLevelType w:val="multilevel"/>
    <w:tmpl w:val="23C0E5FE"/>
    <w:lvl w:ilvl="0">
      <w:start w:val="8"/>
      <w:numFmt w:val="decimal"/>
      <w:lvlText w:val="%1"/>
      <w:lvlJc w:val="left"/>
      <w:pPr>
        <w:ind w:left="360" w:hanging="360"/>
      </w:pPr>
      <w:rPr>
        <w:rFonts w:hint="default"/>
        <w:i w:val="0"/>
      </w:rPr>
    </w:lvl>
    <w:lvl w:ilvl="1">
      <w:start w:val="6"/>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
    <w:nsid w:val="0F84614B"/>
    <w:multiLevelType w:val="multilevel"/>
    <w:tmpl w:val="92D8FF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2879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0E66BD"/>
    <w:multiLevelType w:val="multilevel"/>
    <w:tmpl w:val="FADA3CB0"/>
    <w:lvl w:ilvl="0">
      <w:start w:val="1"/>
      <w:numFmt w:val="decimal"/>
      <w:pStyle w:val="Heading1"/>
      <w:lvlText w:val="%1.0"/>
      <w:lvlJc w:val="left"/>
      <w:pPr>
        <w:tabs>
          <w:tab w:val="num" w:pos="720"/>
        </w:tabs>
        <w:ind w:left="720" w:hanging="720"/>
      </w:pPr>
      <w:rPr>
        <w:rFonts w:hint="default"/>
        <w:b/>
        <w:i/>
      </w:rPr>
    </w:lvl>
    <w:lvl w:ilvl="1">
      <w:start w:val="1"/>
      <w:numFmt w:val="decimal"/>
      <w:pStyle w:val="Heading2"/>
      <w:lvlText w:val="%1.%2"/>
      <w:lvlJc w:val="left"/>
      <w:pPr>
        <w:tabs>
          <w:tab w:val="num" w:pos="2160"/>
        </w:tabs>
        <w:ind w:left="2160" w:hanging="720"/>
      </w:pPr>
      <w:rPr>
        <w:rFonts w:hint="default"/>
        <w:b w:val="0"/>
        <w:i/>
      </w:rPr>
    </w:lvl>
    <w:lvl w:ilvl="2">
      <w:start w:val="1"/>
      <w:numFmt w:val="decimal"/>
      <w:pStyle w:val="Heading3"/>
      <w:lvlText w:val="%1.%2.%3."/>
      <w:lvlJc w:val="left"/>
      <w:pPr>
        <w:tabs>
          <w:tab w:val="num" w:pos="1674"/>
        </w:tabs>
        <w:ind w:left="1674" w:hanging="864"/>
      </w:pPr>
      <w:rPr>
        <w:rFonts w:hint="default"/>
      </w:rPr>
    </w:lvl>
    <w:lvl w:ilvl="3">
      <w:start w:val="1"/>
      <w:numFmt w:val="lowerLetter"/>
      <w:pStyle w:val="ListParagraph"/>
      <w:lvlText w:val="%4."/>
      <w:lvlJc w:val="left"/>
      <w:pPr>
        <w:tabs>
          <w:tab w:val="num" w:pos="3744"/>
        </w:tabs>
        <w:ind w:left="3744" w:hanging="720"/>
      </w:pPr>
      <w:rPr>
        <w:rFonts w:hint="default"/>
      </w:rPr>
    </w:lvl>
    <w:lvl w:ilvl="4">
      <w:start w:val="1"/>
      <w:numFmt w:val="bullet"/>
      <w:pStyle w:val="ListParagraph2"/>
      <w:lvlText w:val="●"/>
      <w:lvlJc w:val="left"/>
      <w:pPr>
        <w:tabs>
          <w:tab w:val="num" w:pos="4464"/>
        </w:tabs>
        <w:ind w:left="4464" w:hanging="360"/>
      </w:pPr>
      <w:rPr>
        <w:rFonts w:ascii="Arial" w:hAnsi="Arial" w:cs="Arial" w:hint="default"/>
        <w:color w:val="auto"/>
      </w:rPr>
    </w:lvl>
    <w:lvl w:ilvl="5">
      <w:start w:val="1"/>
      <w:numFmt w:val="none"/>
      <w:lvlText w:val=""/>
      <w:lvlJc w:val="left"/>
      <w:pPr>
        <w:tabs>
          <w:tab w:val="num" w:pos="5040"/>
        </w:tabs>
        <w:ind w:left="5040" w:firstLine="0"/>
      </w:pPr>
      <w:rPr>
        <w:rFonts w:hint="default"/>
      </w:rPr>
    </w:lvl>
    <w:lvl w:ilvl="6">
      <w:start w:val="1"/>
      <w:numFmt w:val="none"/>
      <w:lvlText w:val=""/>
      <w:lvlJc w:val="left"/>
      <w:pPr>
        <w:tabs>
          <w:tab w:val="num" w:pos="5040"/>
        </w:tabs>
        <w:ind w:left="5040" w:firstLine="0"/>
      </w:pPr>
      <w:rPr>
        <w:rFonts w:hint="default"/>
      </w:rPr>
    </w:lvl>
    <w:lvl w:ilvl="7">
      <w:start w:val="1"/>
      <w:numFmt w:val="none"/>
      <w:lvlText w:val=""/>
      <w:lvlJc w:val="left"/>
      <w:pPr>
        <w:tabs>
          <w:tab w:val="num" w:pos="5040"/>
        </w:tabs>
        <w:ind w:left="5040" w:firstLine="0"/>
      </w:pPr>
      <w:rPr>
        <w:rFonts w:hint="default"/>
      </w:rPr>
    </w:lvl>
    <w:lvl w:ilvl="8">
      <w:start w:val="1"/>
      <w:numFmt w:val="none"/>
      <w:lvlText w:val=""/>
      <w:lvlJc w:val="left"/>
      <w:pPr>
        <w:ind w:left="5040" w:firstLine="0"/>
      </w:pPr>
      <w:rPr>
        <w:rFonts w:hint="default"/>
      </w:rPr>
    </w:lvl>
  </w:abstractNum>
  <w:abstractNum w:abstractNumId="4">
    <w:nsid w:val="172A4C3B"/>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081E50"/>
    <w:multiLevelType w:val="hybridMultilevel"/>
    <w:tmpl w:val="1CEE4010"/>
    <w:lvl w:ilvl="0" w:tplc="33908CBE">
      <w:start w:val="1"/>
      <w:numFmt w:val="bullet"/>
      <w:lvlText w:val=""/>
      <w:lvlJc w:val="left"/>
      <w:pPr>
        <w:ind w:left="3600" w:hanging="360"/>
      </w:pPr>
      <w:rPr>
        <w:rFonts w:ascii="Symbol" w:hAnsi="Symbol" w:hint="default"/>
      </w:rPr>
    </w:lvl>
    <w:lvl w:ilvl="1" w:tplc="DF462A7A" w:tentative="1">
      <w:start w:val="1"/>
      <w:numFmt w:val="bullet"/>
      <w:lvlText w:val="o"/>
      <w:lvlJc w:val="left"/>
      <w:pPr>
        <w:ind w:left="4320" w:hanging="360"/>
      </w:pPr>
      <w:rPr>
        <w:rFonts w:ascii="Courier New" w:hAnsi="Courier New" w:cs="Courier New" w:hint="default"/>
      </w:rPr>
    </w:lvl>
    <w:lvl w:ilvl="2" w:tplc="081430E8" w:tentative="1">
      <w:start w:val="1"/>
      <w:numFmt w:val="bullet"/>
      <w:lvlText w:val=""/>
      <w:lvlJc w:val="left"/>
      <w:pPr>
        <w:ind w:left="5040" w:hanging="360"/>
      </w:pPr>
      <w:rPr>
        <w:rFonts w:ascii="Wingdings" w:hAnsi="Wingdings" w:hint="default"/>
      </w:rPr>
    </w:lvl>
    <w:lvl w:ilvl="3" w:tplc="97F87494" w:tentative="1">
      <w:start w:val="1"/>
      <w:numFmt w:val="bullet"/>
      <w:lvlText w:val=""/>
      <w:lvlJc w:val="left"/>
      <w:pPr>
        <w:ind w:left="5760" w:hanging="360"/>
      </w:pPr>
      <w:rPr>
        <w:rFonts w:ascii="Symbol" w:hAnsi="Symbol" w:hint="default"/>
      </w:rPr>
    </w:lvl>
    <w:lvl w:ilvl="4" w:tplc="DF42A9F2" w:tentative="1">
      <w:start w:val="1"/>
      <w:numFmt w:val="bullet"/>
      <w:lvlText w:val="o"/>
      <w:lvlJc w:val="left"/>
      <w:pPr>
        <w:ind w:left="6480" w:hanging="360"/>
      </w:pPr>
      <w:rPr>
        <w:rFonts w:ascii="Courier New" w:hAnsi="Courier New" w:cs="Courier New" w:hint="default"/>
      </w:rPr>
    </w:lvl>
    <w:lvl w:ilvl="5" w:tplc="3BDE0E62" w:tentative="1">
      <w:start w:val="1"/>
      <w:numFmt w:val="bullet"/>
      <w:lvlText w:val=""/>
      <w:lvlJc w:val="left"/>
      <w:pPr>
        <w:ind w:left="7200" w:hanging="360"/>
      </w:pPr>
      <w:rPr>
        <w:rFonts w:ascii="Wingdings" w:hAnsi="Wingdings" w:hint="default"/>
      </w:rPr>
    </w:lvl>
    <w:lvl w:ilvl="6" w:tplc="3BB6400E" w:tentative="1">
      <w:start w:val="1"/>
      <w:numFmt w:val="bullet"/>
      <w:lvlText w:val=""/>
      <w:lvlJc w:val="left"/>
      <w:pPr>
        <w:ind w:left="7920" w:hanging="360"/>
      </w:pPr>
      <w:rPr>
        <w:rFonts w:ascii="Symbol" w:hAnsi="Symbol" w:hint="default"/>
      </w:rPr>
    </w:lvl>
    <w:lvl w:ilvl="7" w:tplc="D24A0204" w:tentative="1">
      <w:start w:val="1"/>
      <w:numFmt w:val="bullet"/>
      <w:lvlText w:val="o"/>
      <w:lvlJc w:val="left"/>
      <w:pPr>
        <w:ind w:left="8640" w:hanging="360"/>
      </w:pPr>
      <w:rPr>
        <w:rFonts w:ascii="Courier New" w:hAnsi="Courier New" w:cs="Courier New" w:hint="default"/>
      </w:rPr>
    </w:lvl>
    <w:lvl w:ilvl="8" w:tplc="B9FC7C52" w:tentative="1">
      <w:start w:val="1"/>
      <w:numFmt w:val="bullet"/>
      <w:lvlText w:val=""/>
      <w:lvlJc w:val="left"/>
      <w:pPr>
        <w:ind w:left="9360" w:hanging="360"/>
      </w:pPr>
      <w:rPr>
        <w:rFonts w:ascii="Wingdings" w:hAnsi="Wingdings" w:hint="default"/>
      </w:rPr>
    </w:lvl>
  </w:abstractNum>
  <w:abstractNum w:abstractNumId="6">
    <w:nsid w:val="18832060"/>
    <w:multiLevelType w:val="multilevel"/>
    <w:tmpl w:val="E7E269C4"/>
    <w:lvl w:ilvl="0">
      <w:start w:val="8"/>
      <w:numFmt w:val="decimal"/>
      <w:lvlText w:val="%1"/>
      <w:lvlJc w:val="left"/>
      <w:pPr>
        <w:ind w:left="360" w:hanging="360"/>
      </w:pPr>
      <w:rPr>
        <w:rFonts w:hint="default"/>
        <w:i w:val="0"/>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7">
    <w:nsid w:val="194D66B0"/>
    <w:multiLevelType w:val="hybridMultilevel"/>
    <w:tmpl w:val="8A26744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DE215DE"/>
    <w:multiLevelType w:val="hybridMultilevel"/>
    <w:tmpl w:val="079EABD8"/>
    <w:lvl w:ilvl="0" w:tplc="3B14EE5C">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46A32"/>
    <w:multiLevelType w:val="multilevel"/>
    <w:tmpl w:val="DBA874D4"/>
    <w:lvl w:ilvl="0">
      <w:start w:val="6"/>
      <w:numFmt w:val="decimal"/>
      <w:lvlText w:val="%1.0"/>
      <w:lvlJc w:val="left"/>
      <w:pPr>
        <w:ind w:left="1080" w:hanging="360"/>
      </w:pPr>
      <w:rPr>
        <w:rFonts w:hint="default"/>
        <w:i/>
      </w:rPr>
    </w:lvl>
    <w:lvl w:ilvl="1">
      <w:start w:val="3"/>
      <w:numFmt w:val="decimal"/>
      <w:lvlText w:val="%1.%2"/>
      <w:lvlJc w:val="left"/>
      <w:pPr>
        <w:ind w:left="1260" w:hanging="360"/>
      </w:pPr>
      <w:rPr>
        <w:rFonts w:hint="default"/>
        <w:i/>
      </w:rPr>
    </w:lvl>
    <w:lvl w:ilvl="2">
      <w:start w:val="1"/>
      <w:numFmt w:val="decimal"/>
      <w:lvlText w:val="%1.%2.%3"/>
      <w:lvlJc w:val="left"/>
      <w:pPr>
        <w:ind w:left="216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nsid w:val="26F968D7"/>
    <w:multiLevelType w:val="multilevel"/>
    <w:tmpl w:val="2910BBF6"/>
    <w:lvl w:ilvl="0">
      <w:start w:val="2"/>
      <w:numFmt w:val="decimal"/>
      <w:lvlText w:val="%1.0"/>
      <w:lvlJc w:val="left"/>
      <w:pPr>
        <w:ind w:left="630" w:hanging="360"/>
      </w:pPr>
      <w:rPr>
        <w:rFonts w:hint="default"/>
        <w:i/>
      </w:rPr>
    </w:lvl>
    <w:lvl w:ilvl="1">
      <w:start w:val="1"/>
      <w:numFmt w:val="decimal"/>
      <w:lvlText w:val="%1.%2"/>
      <w:lvlJc w:val="left"/>
      <w:pPr>
        <w:ind w:left="810" w:hanging="360"/>
      </w:pPr>
      <w:rPr>
        <w:rFonts w:hint="default"/>
        <w:i/>
      </w:rPr>
    </w:lvl>
    <w:lvl w:ilvl="2">
      <w:start w:val="1"/>
      <w:numFmt w:val="decimal"/>
      <w:lvlText w:val="%1.%2.%3"/>
      <w:lvlJc w:val="left"/>
      <w:pPr>
        <w:ind w:left="2430" w:hanging="720"/>
      </w:pPr>
      <w:rPr>
        <w:rFonts w:hint="default"/>
        <w:i/>
      </w:rPr>
    </w:lvl>
    <w:lvl w:ilvl="3">
      <w:start w:val="1"/>
      <w:numFmt w:val="lowerLetter"/>
      <w:lvlText w:val="%4."/>
      <w:lvlJc w:val="left"/>
      <w:pPr>
        <w:ind w:left="306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11">
    <w:nsid w:val="27B91D95"/>
    <w:multiLevelType w:val="hybridMultilevel"/>
    <w:tmpl w:val="CB5E59EC"/>
    <w:lvl w:ilvl="0" w:tplc="2076B220">
      <w:start w:val="1"/>
      <w:numFmt w:val="decimal"/>
      <w:pStyle w:val="ListParagraph3"/>
      <w:lvlText w:val="A -%1.0"/>
      <w:lvlJc w:val="left"/>
      <w:pPr>
        <w:tabs>
          <w:tab w:val="num" w:pos="907"/>
        </w:tabs>
        <w:ind w:left="900" w:hanging="90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31C4E"/>
    <w:multiLevelType w:val="multilevel"/>
    <w:tmpl w:val="1386777E"/>
    <w:lvl w:ilvl="0">
      <w:start w:val="8"/>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2C131025"/>
    <w:multiLevelType w:val="hybridMultilevel"/>
    <w:tmpl w:val="3342FA72"/>
    <w:lvl w:ilvl="0" w:tplc="FD22CDE0">
      <w:start w:val="1"/>
      <w:numFmt w:val="bullet"/>
      <w:lvlText w:val=""/>
      <w:lvlJc w:val="left"/>
      <w:pPr>
        <w:ind w:left="2160" w:hanging="360"/>
      </w:pPr>
      <w:rPr>
        <w:rFonts w:ascii="Symbol" w:hAnsi="Symbol" w:hint="default"/>
      </w:rPr>
    </w:lvl>
    <w:lvl w:ilvl="1" w:tplc="8E68BBC0" w:tentative="1">
      <w:start w:val="1"/>
      <w:numFmt w:val="bullet"/>
      <w:lvlText w:val="o"/>
      <w:lvlJc w:val="left"/>
      <w:pPr>
        <w:ind w:left="2880" w:hanging="360"/>
      </w:pPr>
      <w:rPr>
        <w:rFonts w:ascii="Courier New" w:hAnsi="Courier New" w:cs="Courier New" w:hint="default"/>
      </w:rPr>
    </w:lvl>
    <w:lvl w:ilvl="2" w:tplc="4DA87A22" w:tentative="1">
      <w:start w:val="1"/>
      <w:numFmt w:val="bullet"/>
      <w:lvlText w:val=""/>
      <w:lvlJc w:val="left"/>
      <w:pPr>
        <w:ind w:left="3600" w:hanging="360"/>
      </w:pPr>
      <w:rPr>
        <w:rFonts w:ascii="Wingdings" w:hAnsi="Wingdings" w:hint="default"/>
      </w:rPr>
    </w:lvl>
    <w:lvl w:ilvl="3" w:tplc="C8BC9162" w:tentative="1">
      <w:start w:val="1"/>
      <w:numFmt w:val="bullet"/>
      <w:lvlText w:val=""/>
      <w:lvlJc w:val="left"/>
      <w:pPr>
        <w:ind w:left="4320" w:hanging="360"/>
      </w:pPr>
      <w:rPr>
        <w:rFonts w:ascii="Symbol" w:hAnsi="Symbol" w:hint="default"/>
      </w:rPr>
    </w:lvl>
    <w:lvl w:ilvl="4" w:tplc="F9D616A8" w:tentative="1">
      <w:start w:val="1"/>
      <w:numFmt w:val="bullet"/>
      <w:lvlText w:val="o"/>
      <w:lvlJc w:val="left"/>
      <w:pPr>
        <w:ind w:left="5040" w:hanging="360"/>
      </w:pPr>
      <w:rPr>
        <w:rFonts w:ascii="Courier New" w:hAnsi="Courier New" w:cs="Courier New" w:hint="default"/>
      </w:rPr>
    </w:lvl>
    <w:lvl w:ilvl="5" w:tplc="85D25556" w:tentative="1">
      <w:start w:val="1"/>
      <w:numFmt w:val="bullet"/>
      <w:lvlText w:val=""/>
      <w:lvlJc w:val="left"/>
      <w:pPr>
        <w:ind w:left="5760" w:hanging="360"/>
      </w:pPr>
      <w:rPr>
        <w:rFonts w:ascii="Wingdings" w:hAnsi="Wingdings" w:hint="default"/>
      </w:rPr>
    </w:lvl>
    <w:lvl w:ilvl="6" w:tplc="3FCE1E5C" w:tentative="1">
      <w:start w:val="1"/>
      <w:numFmt w:val="bullet"/>
      <w:lvlText w:val=""/>
      <w:lvlJc w:val="left"/>
      <w:pPr>
        <w:ind w:left="6480" w:hanging="360"/>
      </w:pPr>
      <w:rPr>
        <w:rFonts w:ascii="Symbol" w:hAnsi="Symbol" w:hint="default"/>
      </w:rPr>
    </w:lvl>
    <w:lvl w:ilvl="7" w:tplc="F2E03726" w:tentative="1">
      <w:start w:val="1"/>
      <w:numFmt w:val="bullet"/>
      <w:lvlText w:val="o"/>
      <w:lvlJc w:val="left"/>
      <w:pPr>
        <w:ind w:left="7200" w:hanging="360"/>
      </w:pPr>
      <w:rPr>
        <w:rFonts w:ascii="Courier New" w:hAnsi="Courier New" w:cs="Courier New" w:hint="default"/>
      </w:rPr>
    </w:lvl>
    <w:lvl w:ilvl="8" w:tplc="2666954A" w:tentative="1">
      <w:start w:val="1"/>
      <w:numFmt w:val="bullet"/>
      <w:lvlText w:val=""/>
      <w:lvlJc w:val="left"/>
      <w:pPr>
        <w:ind w:left="7920" w:hanging="360"/>
      </w:pPr>
      <w:rPr>
        <w:rFonts w:ascii="Wingdings" w:hAnsi="Wingdings" w:hint="default"/>
      </w:rPr>
    </w:lvl>
  </w:abstractNum>
  <w:abstractNum w:abstractNumId="14">
    <w:nsid w:val="2E467C13"/>
    <w:multiLevelType w:val="hybridMultilevel"/>
    <w:tmpl w:val="6980D9C6"/>
    <w:lvl w:ilvl="0" w:tplc="FA7AC3EC">
      <w:start w:val="1"/>
      <w:numFmt w:val="bullet"/>
      <w:lvlText w:val=""/>
      <w:lvlJc w:val="left"/>
      <w:pPr>
        <w:ind w:left="3600" w:hanging="360"/>
      </w:pPr>
      <w:rPr>
        <w:rFonts w:ascii="Symbol" w:hAnsi="Symbol" w:hint="default"/>
      </w:rPr>
    </w:lvl>
    <w:lvl w:ilvl="1" w:tplc="D81A1354" w:tentative="1">
      <w:start w:val="1"/>
      <w:numFmt w:val="bullet"/>
      <w:lvlText w:val="o"/>
      <w:lvlJc w:val="left"/>
      <w:pPr>
        <w:ind w:left="4320" w:hanging="360"/>
      </w:pPr>
      <w:rPr>
        <w:rFonts w:ascii="Courier New" w:hAnsi="Courier New" w:cs="Courier New" w:hint="default"/>
      </w:rPr>
    </w:lvl>
    <w:lvl w:ilvl="2" w:tplc="D780F6A4" w:tentative="1">
      <w:start w:val="1"/>
      <w:numFmt w:val="bullet"/>
      <w:lvlText w:val=""/>
      <w:lvlJc w:val="left"/>
      <w:pPr>
        <w:ind w:left="5040" w:hanging="360"/>
      </w:pPr>
      <w:rPr>
        <w:rFonts w:ascii="Wingdings" w:hAnsi="Wingdings" w:hint="default"/>
      </w:rPr>
    </w:lvl>
    <w:lvl w:ilvl="3" w:tplc="960821B8" w:tentative="1">
      <w:start w:val="1"/>
      <w:numFmt w:val="bullet"/>
      <w:lvlText w:val=""/>
      <w:lvlJc w:val="left"/>
      <w:pPr>
        <w:ind w:left="5760" w:hanging="360"/>
      </w:pPr>
      <w:rPr>
        <w:rFonts w:ascii="Symbol" w:hAnsi="Symbol" w:hint="default"/>
      </w:rPr>
    </w:lvl>
    <w:lvl w:ilvl="4" w:tplc="1AFCAC78" w:tentative="1">
      <w:start w:val="1"/>
      <w:numFmt w:val="bullet"/>
      <w:lvlText w:val="o"/>
      <w:lvlJc w:val="left"/>
      <w:pPr>
        <w:ind w:left="6480" w:hanging="360"/>
      </w:pPr>
      <w:rPr>
        <w:rFonts w:ascii="Courier New" w:hAnsi="Courier New" w:cs="Courier New" w:hint="default"/>
      </w:rPr>
    </w:lvl>
    <w:lvl w:ilvl="5" w:tplc="1302903A" w:tentative="1">
      <w:start w:val="1"/>
      <w:numFmt w:val="bullet"/>
      <w:lvlText w:val=""/>
      <w:lvlJc w:val="left"/>
      <w:pPr>
        <w:ind w:left="7200" w:hanging="360"/>
      </w:pPr>
      <w:rPr>
        <w:rFonts w:ascii="Wingdings" w:hAnsi="Wingdings" w:hint="default"/>
      </w:rPr>
    </w:lvl>
    <w:lvl w:ilvl="6" w:tplc="A3DA83C6" w:tentative="1">
      <w:start w:val="1"/>
      <w:numFmt w:val="bullet"/>
      <w:lvlText w:val=""/>
      <w:lvlJc w:val="left"/>
      <w:pPr>
        <w:ind w:left="7920" w:hanging="360"/>
      </w:pPr>
      <w:rPr>
        <w:rFonts w:ascii="Symbol" w:hAnsi="Symbol" w:hint="default"/>
      </w:rPr>
    </w:lvl>
    <w:lvl w:ilvl="7" w:tplc="C5AE56AA" w:tentative="1">
      <w:start w:val="1"/>
      <w:numFmt w:val="bullet"/>
      <w:lvlText w:val="o"/>
      <w:lvlJc w:val="left"/>
      <w:pPr>
        <w:ind w:left="8640" w:hanging="360"/>
      </w:pPr>
      <w:rPr>
        <w:rFonts w:ascii="Courier New" w:hAnsi="Courier New" w:cs="Courier New" w:hint="default"/>
      </w:rPr>
    </w:lvl>
    <w:lvl w:ilvl="8" w:tplc="36C69770" w:tentative="1">
      <w:start w:val="1"/>
      <w:numFmt w:val="bullet"/>
      <w:lvlText w:val=""/>
      <w:lvlJc w:val="left"/>
      <w:pPr>
        <w:ind w:left="9360" w:hanging="360"/>
      </w:pPr>
      <w:rPr>
        <w:rFonts w:ascii="Wingdings" w:hAnsi="Wingdings" w:hint="default"/>
      </w:rPr>
    </w:lvl>
  </w:abstractNum>
  <w:abstractNum w:abstractNumId="15">
    <w:nsid w:val="33091DA4"/>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39E7B2C"/>
    <w:multiLevelType w:val="hybridMultilevel"/>
    <w:tmpl w:val="13506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C76C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DD23A2"/>
    <w:multiLevelType w:val="multilevel"/>
    <w:tmpl w:val="2910BBF6"/>
    <w:styleLink w:val="Style1"/>
    <w:lvl w:ilvl="0">
      <w:start w:val="6"/>
      <w:numFmt w:val="decimal"/>
      <w:lvlText w:val="%1.0"/>
      <w:lvlJc w:val="left"/>
      <w:pPr>
        <w:ind w:left="1080" w:hanging="360"/>
      </w:pPr>
      <w:rPr>
        <w:rFonts w:hint="default"/>
        <w:i/>
      </w:rPr>
    </w:lvl>
    <w:lvl w:ilvl="1">
      <w:start w:val="1"/>
      <w:numFmt w:val="decimal"/>
      <w:lvlText w:val="%1.%2"/>
      <w:lvlJc w:val="left"/>
      <w:pPr>
        <w:ind w:left="1260" w:hanging="360"/>
      </w:pPr>
      <w:rPr>
        <w:rFonts w:hint="default"/>
        <w:i/>
      </w:rPr>
    </w:lvl>
    <w:lvl w:ilvl="2">
      <w:start w:val="1"/>
      <w:numFmt w:val="decimal"/>
      <w:lvlText w:val="%1.%2.%3"/>
      <w:lvlJc w:val="left"/>
      <w:pPr>
        <w:ind w:left="234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9">
    <w:nsid w:val="40D908E5"/>
    <w:multiLevelType w:val="hybridMultilevel"/>
    <w:tmpl w:val="945AA73C"/>
    <w:lvl w:ilvl="0" w:tplc="E324A092">
      <w:start w:val="1"/>
      <w:numFmt w:val="bullet"/>
      <w:lvlText w:val=""/>
      <w:lvlJc w:val="left"/>
      <w:pPr>
        <w:ind w:left="3600" w:hanging="360"/>
      </w:pPr>
      <w:rPr>
        <w:rFonts w:ascii="Symbol" w:hAnsi="Symbol" w:hint="default"/>
      </w:rPr>
    </w:lvl>
    <w:lvl w:ilvl="1" w:tplc="9BAA6746" w:tentative="1">
      <w:start w:val="1"/>
      <w:numFmt w:val="bullet"/>
      <w:lvlText w:val="o"/>
      <w:lvlJc w:val="left"/>
      <w:pPr>
        <w:ind w:left="4320" w:hanging="360"/>
      </w:pPr>
      <w:rPr>
        <w:rFonts w:ascii="Courier New" w:hAnsi="Courier New" w:cs="Courier New" w:hint="default"/>
      </w:rPr>
    </w:lvl>
    <w:lvl w:ilvl="2" w:tplc="88909FBE" w:tentative="1">
      <w:start w:val="1"/>
      <w:numFmt w:val="bullet"/>
      <w:lvlText w:val=""/>
      <w:lvlJc w:val="left"/>
      <w:pPr>
        <w:ind w:left="5040" w:hanging="360"/>
      </w:pPr>
      <w:rPr>
        <w:rFonts w:ascii="Wingdings" w:hAnsi="Wingdings" w:hint="default"/>
      </w:rPr>
    </w:lvl>
    <w:lvl w:ilvl="3" w:tplc="CDCC8232" w:tentative="1">
      <w:start w:val="1"/>
      <w:numFmt w:val="bullet"/>
      <w:lvlText w:val=""/>
      <w:lvlJc w:val="left"/>
      <w:pPr>
        <w:ind w:left="5760" w:hanging="360"/>
      </w:pPr>
      <w:rPr>
        <w:rFonts w:ascii="Symbol" w:hAnsi="Symbol" w:hint="default"/>
      </w:rPr>
    </w:lvl>
    <w:lvl w:ilvl="4" w:tplc="53AC7A16" w:tentative="1">
      <w:start w:val="1"/>
      <w:numFmt w:val="bullet"/>
      <w:lvlText w:val="o"/>
      <w:lvlJc w:val="left"/>
      <w:pPr>
        <w:ind w:left="6480" w:hanging="360"/>
      </w:pPr>
      <w:rPr>
        <w:rFonts w:ascii="Courier New" w:hAnsi="Courier New" w:cs="Courier New" w:hint="default"/>
      </w:rPr>
    </w:lvl>
    <w:lvl w:ilvl="5" w:tplc="20A26D30" w:tentative="1">
      <w:start w:val="1"/>
      <w:numFmt w:val="bullet"/>
      <w:lvlText w:val=""/>
      <w:lvlJc w:val="left"/>
      <w:pPr>
        <w:ind w:left="7200" w:hanging="360"/>
      </w:pPr>
      <w:rPr>
        <w:rFonts w:ascii="Wingdings" w:hAnsi="Wingdings" w:hint="default"/>
      </w:rPr>
    </w:lvl>
    <w:lvl w:ilvl="6" w:tplc="38AEC7E6" w:tentative="1">
      <w:start w:val="1"/>
      <w:numFmt w:val="bullet"/>
      <w:lvlText w:val=""/>
      <w:lvlJc w:val="left"/>
      <w:pPr>
        <w:ind w:left="7920" w:hanging="360"/>
      </w:pPr>
      <w:rPr>
        <w:rFonts w:ascii="Symbol" w:hAnsi="Symbol" w:hint="default"/>
      </w:rPr>
    </w:lvl>
    <w:lvl w:ilvl="7" w:tplc="44CA82AA" w:tentative="1">
      <w:start w:val="1"/>
      <w:numFmt w:val="bullet"/>
      <w:lvlText w:val="o"/>
      <w:lvlJc w:val="left"/>
      <w:pPr>
        <w:ind w:left="8640" w:hanging="360"/>
      </w:pPr>
      <w:rPr>
        <w:rFonts w:ascii="Courier New" w:hAnsi="Courier New" w:cs="Courier New" w:hint="default"/>
      </w:rPr>
    </w:lvl>
    <w:lvl w:ilvl="8" w:tplc="303AA28E" w:tentative="1">
      <w:start w:val="1"/>
      <w:numFmt w:val="bullet"/>
      <w:lvlText w:val=""/>
      <w:lvlJc w:val="left"/>
      <w:pPr>
        <w:ind w:left="9360" w:hanging="360"/>
      </w:pPr>
      <w:rPr>
        <w:rFonts w:ascii="Wingdings" w:hAnsi="Wingdings" w:hint="default"/>
      </w:rPr>
    </w:lvl>
  </w:abstractNum>
  <w:abstractNum w:abstractNumId="20">
    <w:nsid w:val="416746BE"/>
    <w:multiLevelType w:val="multilevel"/>
    <w:tmpl w:val="48041F44"/>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1">
    <w:nsid w:val="41F46C89"/>
    <w:multiLevelType w:val="multilevel"/>
    <w:tmpl w:val="2910BBF6"/>
    <w:lvl w:ilvl="0">
      <w:start w:val="2"/>
      <w:numFmt w:val="decimal"/>
      <w:lvlText w:val="%1.0"/>
      <w:lvlJc w:val="left"/>
      <w:pPr>
        <w:ind w:left="1080" w:hanging="360"/>
      </w:pPr>
      <w:rPr>
        <w:rFonts w:hint="default"/>
        <w:i/>
      </w:rPr>
    </w:lvl>
    <w:lvl w:ilvl="1">
      <w:start w:val="1"/>
      <w:numFmt w:val="decimal"/>
      <w:lvlText w:val="%1.%2"/>
      <w:lvlJc w:val="left"/>
      <w:pPr>
        <w:ind w:left="1260" w:hanging="360"/>
      </w:pPr>
      <w:rPr>
        <w:rFonts w:hint="default"/>
        <w:i/>
      </w:rPr>
    </w:lvl>
    <w:lvl w:ilvl="2">
      <w:start w:val="1"/>
      <w:numFmt w:val="decimal"/>
      <w:lvlText w:val="%1.%2.%3"/>
      <w:lvlJc w:val="left"/>
      <w:pPr>
        <w:ind w:left="288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2">
    <w:nsid w:val="434F74F1"/>
    <w:multiLevelType w:val="multilevel"/>
    <w:tmpl w:val="436CD4C4"/>
    <w:lvl w:ilvl="0">
      <w:start w:val="8"/>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3">
    <w:nsid w:val="43C22FBB"/>
    <w:multiLevelType w:val="multilevel"/>
    <w:tmpl w:val="9322013E"/>
    <w:lvl w:ilvl="0">
      <w:start w:val="1"/>
      <w:numFmt w:val="decimal"/>
      <w:lvlText w:val="%1.0"/>
      <w:lvlJc w:val="left"/>
      <w:pPr>
        <w:ind w:left="108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4">
    <w:nsid w:val="4E5725A9"/>
    <w:multiLevelType w:val="multilevel"/>
    <w:tmpl w:val="F8C690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F727DA"/>
    <w:multiLevelType w:val="multilevel"/>
    <w:tmpl w:val="BEC4EFDA"/>
    <w:lvl w:ilvl="0">
      <w:start w:val="1"/>
      <w:numFmt w:val="decimal"/>
      <w:lvlText w:val="%1.0"/>
      <w:lvlJc w:val="left"/>
      <w:pPr>
        <w:tabs>
          <w:tab w:val="num" w:pos="2160"/>
        </w:tabs>
        <w:ind w:left="2160" w:hanging="720"/>
      </w:pPr>
      <w:rPr>
        <w:rFonts w:hint="default"/>
        <w:b/>
        <w:i/>
      </w:rPr>
    </w:lvl>
    <w:lvl w:ilvl="1">
      <w:start w:val="1"/>
      <w:numFmt w:val="decimal"/>
      <w:lvlText w:val="%1.%2"/>
      <w:lvlJc w:val="left"/>
      <w:pPr>
        <w:tabs>
          <w:tab w:val="num" w:pos="2880"/>
        </w:tabs>
        <w:ind w:left="2880" w:hanging="720"/>
      </w:pPr>
      <w:rPr>
        <w:rFonts w:ascii="Arial" w:hAnsi="Arial" w:cs="Arial" w:hint="default"/>
        <w:b w:val="0"/>
        <w:i/>
        <w:sz w:val="22"/>
        <w:szCs w:val="22"/>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6">
    <w:nsid w:val="4FC03EBE"/>
    <w:multiLevelType w:val="multilevel"/>
    <w:tmpl w:val="6E342E44"/>
    <w:lvl w:ilvl="0">
      <w:start w:val="1"/>
      <w:numFmt w:val="decimal"/>
      <w:lvlText w:val="%1.0"/>
      <w:lvlJc w:val="left"/>
      <w:pPr>
        <w:ind w:left="900" w:hanging="900"/>
      </w:pPr>
      <w:rPr>
        <w:rFonts w:hint="default"/>
        <w:u w:val="single"/>
      </w:rPr>
    </w:lvl>
    <w:lvl w:ilvl="1">
      <w:start w:val="1"/>
      <w:numFmt w:val="decimal"/>
      <w:lvlText w:val="%1.%2"/>
      <w:lvlJc w:val="left"/>
      <w:pPr>
        <w:ind w:left="1620" w:hanging="900"/>
      </w:pPr>
      <w:rPr>
        <w:rFonts w:hint="default"/>
        <w:u w:val="single"/>
      </w:rPr>
    </w:lvl>
    <w:lvl w:ilvl="2">
      <w:start w:val="1"/>
      <w:numFmt w:val="decimal"/>
      <w:lvlText w:val="%1.%2.%3"/>
      <w:lvlJc w:val="left"/>
      <w:pPr>
        <w:ind w:left="2340" w:hanging="900"/>
      </w:pPr>
      <w:rPr>
        <w:rFonts w:hint="default"/>
        <w:u w:val="single"/>
      </w:rPr>
    </w:lvl>
    <w:lvl w:ilvl="3">
      <w:start w:val="1"/>
      <w:numFmt w:val="decimal"/>
      <w:lvlText w:val="%1.%2.%3.%4"/>
      <w:lvlJc w:val="left"/>
      <w:pPr>
        <w:ind w:left="3060" w:hanging="90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7">
    <w:nsid w:val="50A22B3E"/>
    <w:multiLevelType w:val="multilevel"/>
    <w:tmpl w:val="28E68364"/>
    <w:lvl w:ilvl="0">
      <w:start w:val="8"/>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8">
    <w:nsid w:val="517123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A71B87"/>
    <w:multiLevelType w:val="multilevel"/>
    <w:tmpl w:val="BEC4EFDA"/>
    <w:lvl w:ilvl="0">
      <w:start w:val="1"/>
      <w:numFmt w:val="decimal"/>
      <w:lvlText w:val="%1.0"/>
      <w:lvlJc w:val="left"/>
      <w:pPr>
        <w:tabs>
          <w:tab w:val="num" w:pos="720"/>
        </w:tabs>
        <w:ind w:left="720" w:hanging="720"/>
      </w:pPr>
      <w:rPr>
        <w:rFonts w:hint="default"/>
        <w:b/>
        <w:i/>
      </w:rPr>
    </w:lvl>
    <w:lvl w:ilvl="1">
      <w:start w:val="1"/>
      <w:numFmt w:val="decimal"/>
      <w:lvlText w:val="%1.%2"/>
      <w:lvlJc w:val="left"/>
      <w:pPr>
        <w:tabs>
          <w:tab w:val="num" w:pos="1440"/>
        </w:tabs>
        <w:ind w:left="1440" w:hanging="720"/>
      </w:pPr>
      <w:rPr>
        <w:rFonts w:ascii="Arial" w:hAnsi="Arial" w:cs="Arial" w:hint="default"/>
        <w:b w:val="0"/>
        <w:i/>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6095135"/>
    <w:multiLevelType w:val="hybridMultilevel"/>
    <w:tmpl w:val="4606D094"/>
    <w:lvl w:ilvl="0" w:tplc="FD66DA00">
      <w:start w:val="1"/>
      <w:numFmt w:val="bullet"/>
      <w:lvlText w:val=""/>
      <w:lvlJc w:val="left"/>
      <w:pPr>
        <w:ind w:left="2070" w:hanging="360"/>
      </w:pPr>
      <w:rPr>
        <w:rFonts w:ascii="Symbol" w:hAnsi="Symbol" w:hint="default"/>
      </w:rPr>
    </w:lvl>
    <w:lvl w:ilvl="1" w:tplc="BC28EB82">
      <w:start w:val="1"/>
      <w:numFmt w:val="bullet"/>
      <w:lvlText w:val="o"/>
      <w:lvlJc w:val="left"/>
      <w:pPr>
        <w:ind w:left="2790" w:hanging="360"/>
      </w:pPr>
      <w:rPr>
        <w:rFonts w:ascii="Courier New" w:hAnsi="Courier New" w:cs="Courier New" w:hint="default"/>
      </w:rPr>
    </w:lvl>
    <w:lvl w:ilvl="2" w:tplc="6E52DFF2" w:tentative="1">
      <w:start w:val="1"/>
      <w:numFmt w:val="bullet"/>
      <w:lvlText w:val=""/>
      <w:lvlJc w:val="left"/>
      <w:pPr>
        <w:ind w:left="3510" w:hanging="360"/>
      </w:pPr>
      <w:rPr>
        <w:rFonts w:ascii="Wingdings" w:hAnsi="Wingdings" w:hint="default"/>
      </w:rPr>
    </w:lvl>
    <w:lvl w:ilvl="3" w:tplc="C248FA3A" w:tentative="1">
      <w:start w:val="1"/>
      <w:numFmt w:val="bullet"/>
      <w:lvlText w:val=""/>
      <w:lvlJc w:val="left"/>
      <w:pPr>
        <w:ind w:left="4230" w:hanging="360"/>
      </w:pPr>
      <w:rPr>
        <w:rFonts w:ascii="Symbol" w:hAnsi="Symbol" w:hint="default"/>
      </w:rPr>
    </w:lvl>
    <w:lvl w:ilvl="4" w:tplc="3A74C906" w:tentative="1">
      <w:start w:val="1"/>
      <w:numFmt w:val="bullet"/>
      <w:lvlText w:val="o"/>
      <w:lvlJc w:val="left"/>
      <w:pPr>
        <w:ind w:left="4950" w:hanging="360"/>
      </w:pPr>
      <w:rPr>
        <w:rFonts w:ascii="Courier New" w:hAnsi="Courier New" w:cs="Courier New" w:hint="default"/>
      </w:rPr>
    </w:lvl>
    <w:lvl w:ilvl="5" w:tplc="8320E4B0" w:tentative="1">
      <w:start w:val="1"/>
      <w:numFmt w:val="bullet"/>
      <w:lvlText w:val=""/>
      <w:lvlJc w:val="left"/>
      <w:pPr>
        <w:ind w:left="5670" w:hanging="360"/>
      </w:pPr>
      <w:rPr>
        <w:rFonts w:ascii="Wingdings" w:hAnsi="Wingdings" w:hint="default"/>
      </w:rPr>
    </w:lvl>
    <w:lvl w:ilvl="6" w:tplc="C34E30AE" w:tentative="1">
      <w:start w:val="1"/>
      <w:numFmt w:val="bullet"/>
      <w:lvlText w:val=""/>
      <w:lvlJc w:val="left"/>
      <w:pPr>
        <w:ind w:left="6390" w:hanging="360"/>
      </w:pPr>
      <w:rPr>
        <w:rFonts w:ascii="Symbol" w:hAnsi="Symbol" w:hint="default"/>
      </w:rPr>
    </w:lvl>
    <w:lvl w:ilvl="7" w:tplc="134A7B78" w:tentative="1">
      <w:start w:val="1"/>
      <w:numFmt w:val="bullet"/>
      <w:lvlText w:val="o"/>
      <w:lvlJc w:val="left"/>
      <w:pPr>
        <w:ind w:left="7110" w:hanging="360"/>
      </w:pPr>
      <w:rPr>
        <w:rFonts w:ascii="Courier New" w:hAnsi="Courier New" w:cs="Courier New" w:hint="default"/>
      </w:rPr>
    </w:lvl>
    <w:lvl w:ilvl="8" w:tplc="21448E3C" w:tentative="1">
      <w:start w:val="1"/>
      <w:numFmt w:val="bullet"/>
      <w:lvlText w:val=""/>
      <w:lvlJc w:val="left"/>
      <w:pPr>
        <w:ind w:left="7830" w:hanging="360"/>
      </w:pPr>
      <w:rPr>
        <w:rFonts w:ascii="Wingdings" w:hAnsi="Wingdings" w:hint="default"/>
      </w:rPr>
    </w:lvl>
  </w:abstractNum>
  <w:abstractNum w:abstractNumId="31">
    <w:nsid w:val="589766D2"/>
    <w:multiLevelType w:val="hybridMultilevel"/>
    <w:tmpl w:val="502AAE8C"/>
    <w:lvl w:ilvl="0" w:tplc="8A02F854">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C592B"/>
    <w:multiLevelType w:val="multilevel"/>
    <w:tmpl w:val="11B2516E"/>
    <w:lvl w:ilvl="0">
      <w:start w:val="1"/>
      <w:numFmt w:val="decimal"/>
      <w:lvlText w:val="A -%1.0"/>
      <w:lvlJc w:val="left"/>
      <w:pPr>
        <w:ind w:left="1710" w:hanging="900"/>
      </w:pPr>
      <w:rPr>
        <w:rFonts w:hint="default"/>
        <w:b/>
        <w:u w:val="single"/>
      </w:rPr>
    </w:lvl>
    <w:lvl w:ilvl="1">
      <w:start w:val="1"/>
      <w:numFmt w:val="decimal"/>
      <w:lvlText w:val="%1.%2"/>
      <w:lvlJc w:val="left"/>
      <w:pPr>
        <w:ind w:left="1620" w:hanging="900"/>
      </w:pPr>
      <w:rPr>
        <w:rFonts w:hint="default"/>
        <w:u w:val="single"/>
      </w:rPr>
    </w:lvl>
    <w:lvl w:ilvl="2">
      <w:start w:val="1"/>
      <w:numFmt w:val="decimal"/>
      <w:lvlText w:val="%1.%2.%3"/>
      <w:lvlJc w:val="left"/>
      <w:pPr>
        <w:ind w:left="2340" w:hanging="900"/>
      </w:pPr>
      <w:rPr>
        <w:rFonts w:hint="default"/>
        <w:u w:val="single"/>
      </w:rPr>
    </w:lvl>
    <w:lvl w:ilvl="3">
      <w:start w:val="1"/>
      <w:numFmt w:val="decimal"/>
      <w:lvlText w:val="%1.%2.%3.%4"/>
      <w:lvlJc w:val="left"/>
      <w:pPr>
        <w:ind w:left="3060" w:hanging="90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3">
    <w:nsid w:val="61432118"/>
    <w:multiLevelType w:val="multilevel"/>
    <w:tmpl w:val="BE96F3F0"/>
    <w:lvl w:ilvl="0">
      <w:start w:val="6"/>
      <w:numFmt w:val="decimal"/>
      <w:lvlText w:val="%1"/>
      <w:lvlJc w:val="left"/>
      <w:pPr>
        <w:ind w:left="480" w:hanging="480"/>
      </w:pPr>
      <w:rPr>
        <w:rFonts w:hint="default"/>
      </w:rPr>
    </w:lvl>
    <w:lvl w:ilvl="1">
      <w:start w:val="3"/>
      <w:numFmt w:val="decimal"/>
      <w:lvlText w:val="%1.%2"/>
      <w:lvlJc w:val="left"/>
      <w:pPr>
        <w:ind w:left="1560" w:hanging="480"/>
      </w:pPr>
      <w:rPr>
        <w:rFonts w:hint="default"/>
        <w:i/>
      </w:rPr>
    </w:lvl>
    <w:lvl w:ilvl="2">
      <w:start w:val="4"/>
      <w:numFmt w:val="decimal"/>
      <w:lvlText w:val="%1.%2.%3"/>
      <w:lvlJc w:val="left"/>
      <w:pPr>
        <w:ind w:left="2880" w:hanging="720"/>
      </w:pPr>
      <w:rPr>
        <w:rFonts w:hint="default"/>
        <w: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1DA37AB"/>
    <w:multiLevelType w:val="multilevel"/>
    <w:tmpl w:val="F8C690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F309E0"/>
    <w:multiLevelType w:val="multilevel"/>
    <w:tmpl w:val="18A26F54"/>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6">
    <w:nsid w:val="6EAA3386"/>
    <w:multiLevelType w:val="multilevel"/>
    <w:tmpl w:val="D59695A8"/>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7">
    <w:nsid w:val="6FCA75CE"/>
    <w:multiLevelType w:val="multilevel"/>
    <w:tmpl w:val="2910BBF6"/>
    <w:lvl w:ilvl="0">
      <w:start w:val="2"/>
      <w:numFmt w:val="decimal"/>
      <w:lvlText w:val="%1.0"/>
      <w:lvlJc w:val="left"/>
      <w:pPr>
        <w:ind w:left="630" w:hanging="360"/>
      </w:pPr>
      <w:rPr>
        <w:rFonts w:hint="default"/>
        <w:i/>
      </w:rPr>
    </w:lvl>
    <w:lvl w:ilvl="1">
      <w:start w:val="1"/>
      <w:numFmt w:val="decimal"/>
      <w:lvlText w:val="%1.%2"/>
      <w:lvlJc w:val="left"/>
      <w:pPr>
        <w:ind w:left="810" w:hanging="360"/>
      </w:pPr>
      <w:rPr>
        <w:rFonts w:hint="default"/>
        <w:i/>
      </w:rPr>
    </w:lvl>
    <w:lvl w:ilvl="2">
      <w:start w:val="1"/>
      <w:numFmt w:val="decimal"/>
      <w:lvlText w:val="%1.%2.%3"/>
      <w:lvlJc w:val="left"/>
      <w:pPr>
        <w:ind w:left="2430" w:hanging="720"/>
      </w:pPr>
      <w:rPr>
        <w:rFonts w:hint="default"/>
        <w:i/>
      </w:rPr>
    </w:lvl>
    <w:lvl w:ilvl="3">
      <w:start w:val="1"/>
      <w:numFmt w:val="lowerLetter"/>
      <w:lvlText w:val="%4."/>
      <w:lvlJc w:val="left"/>
      <w:pPr>
        <w:ind w:left="306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38">
    <w:nsid w:val="72307616"/>
    <w:multiLevelType w:val="hybridMultilevel"/>
    <w:tmpl w:val="07C8F1CA"/>
    <w:lvl w:ilvl="0" w:tplc="28664AB8">
      <w:start w:val="1"/>
      <w:numFmt w:val="bullet"/>
      <w:lvlText w:val=""/>
      <w:lvlJc w:val="left"/>
      <w:pPr>
        <w:ind w:left="3600" w:hanging="360"/>
      </w:pPr>
      <w:rPr>
        <w:rFonts w:ascii="Symbol" w:hAnsi="Symbol" w:hint="default"/>
      </w:rPr>
    </w:lvl>
    <w:lvl w:ilvl="1" w:tplc="FEDA9F90" w:tentative="1">
      <w:start w:val="1"/>
      <w:numFmt w:val="bullet"/>
      <w:lvlText w:val="o"/>
      <w:lvlJc w:val="left"/>
      <w:pPr>
        <w:ind w:left="4320" w:hanging="360"/>
      </w:pPr>
      <w:rPr>
        <w:rFonts w:ascii="Courier New" w:hAnsi="Courier New" w:cs="Courier New" w:hint="default"/>
      </w:rPr>
    </w:lvl>
    <w:lvl w:ilvl="2" w:tplc="0798CCCC" w:tentative="1">
      <w:start w:val="1"/>
      <w:numFmt w:val="bullet"/>
      <w:lvlText w:val=""/>
      <w:lvlJc w:val="left"/>
      <w:pPr>
        <w:ind w:left="5040" w:hanging="360"/>
      </w:pPr>
      <w:rPr>
        <w:rFonts w:ascii="Wingdings" w:hAnsi="Wingdings" w:hint="default"/>
      </w:rPr>
    </w:lvl>
    <w:lvl w:ilvl="3" w:tplc="690C92E8" w:tentative="1">
      <w:start w:val="1"/>
      <w:numFmt w:val="bullet"/>
      <w:lvlText w:val=""/>
      <w:lvlJc w:val="left"/>
      <w:pPr>
        <w:ind w:left="5760" w:hanging="360"/>
      </w:pPr>
      <w:rPr>
        <w:rFonts w:ascii="Symbol" w:hAnsi="Symbol" w:hint="default"/>
      </w:rPr>
    </w:lvl>
    <w:lvl w:ilvl="4" w:tplc="6BC004F8" w:tentative="1">
      <w:start w:val="1"/>
      <w:numFmt w:val="bullet"/>
      <w:lvlText w:val="o"/>
      <w:lvlJc w:val="left"/>
      <w:pPr>
        <w:ind w:left="6480" w:hanging="360"/>
      </w:pPr>
      <w:rPr>
        <w:rFonts w:ascii="Courier New" w:hAnsi="Courier New" w:cs="Courier New" w:hint="default"/>
      </w:rPr>
    </w:lvl>
    <w:lvl w:ilvl="5" w:tplc="D5D4C478" w:tentative="1">
      <w:start w:val="1"/>
      <w:numFmt w:val="bullet"/>
      <w:lvlText w:val=""/>
      <w:lvlJc w:val="left"/>
      <w:pPr>
        <w:ind w:left="7200" w:hanging="360"/>
      </w:pPr>
      <w:rPr>
        <w:rFonts w:ascii="Wingdings" w:hAnsi="Wingdings" w:hint="default"/>
      </w:rPr>
    </w:lvl>
    <w:lvl w:ilvl="6" w:tplc="C810C9D4" w:tentative="1">
      <w:start w:val="1"/>
      <w:numFmt w:val="bullet"/>
      <w:lvlText w:val=""/>
      <w:lvlJc w:val="left"/>
      <w:pPr>
        <w:ind w:left="7920" w:hanging="360"/>
      </w:pPr>
      <w:rPr>
        <w:rFonts w:ascii="Symbol" w:hAnsi="Symbol" w:hint="default"/>
      </w:rPr>
    </w:lvl>
    <w:lvl w:ilvl="7" w:tplc="7A581454" w:tentative="1">
      <w:start w:val="1"/>
      <w:numFmt w:val="bullet"/>
      <w:lvlText w:val="o"/>
      <w:lvlJc w:val="left"/>
      <w:pPr>
        <w:ind w:left="8640" w:hanging="360"/>
      </w:pPr>
      <w:rPr>
        <w:rFonts w:ascii="Courier New" w:hAnsi="Courier New" w:cs="Courier New" w:hint="default"/>
      </w:rPr>
    </w:lvl>
    <w:lvl w:ilvl="8" w:tplc="1794E940" w:tentative="1">
      <w:start w:val="1"/>
      <w:numFmt w:val="bullet"/>
      <w:lvlText w:val=""/>
      <w:lvlJc w:val="left"/>
      <w:pPr>
        <w:ind w:left="9360" w:hanging="360"/>
      </w:pPr>
      <w:rPr>
        <w:rFonts w:ascii="Wingdings" w:hAnsi="Wingdings" w:hint="default"/>
      </w:rPr>
    </w:lvl>
  </w:abstractNum>
  <w:abstractNum w:abstractNumId="39">
    <w:nsid w:val="72A74F76"/>
    <w:multiLevelType w:val="multilevel"/>
    <w:tmpl w:val="6CF2D9AA"/>
    <w:lvl w:ilvl="0">
      <w:start w:val="1"/>
      <w:numFmt w:val="decimal"/>
      <w:lvlText w:val="%1"/>
      <w:lvlJc w:val="left"/>
      <w:pPr>
        <w:tabs>
          <w:tab w:val="num" w:pos="720"/>
        </w:tabs>
        <w:ind w:left="720" w:hanging="720"/>
      </w:pPr>
      <w:rPr>
        <w:rFonts w:hint="default"/>
        <w:b/>
        <w:i/>
      </w:rPr>
    </w:lvl>
    <w:lvl w:ilvl="1">
      <w:numFmt w:val="decimal"/>
      <w:lvlText w:val="%1.%2"/>
      <w:lvlJc w:val="left"/>
      <w:pPr>
        <w:tabs>
          <w:tab w:val="num" w:pos="1440"/>
        </w:tabs>
        <w:ind w:left="1440" w:hanging="720"/>
      </w:pPr>
      <w:rPr>
        <w:rFonts w:ascii="Arial" w:hAnsi="Arial" w:cs="Arial" w:hint="default"/>
        <w:b w:val="0"/>
        <w:i/>
        <w:sz w:val="22"/>
        <w:szCs w:val="22"/>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3EE3A47"/>
    <w:multiLevelType w:val="multilevel"/>
    <w:tmpl w:val="2910BBF6"/>
    <w:numStyleLink w:val="Style1"/>
  </w:abstractNum>
  <w:abstractNum w:abstractNumId="41">
    <w:nsid w:val="740A7167"/>
    <w:multiLevelType w:val="multilevel"/>
    <w:tmpl w:val="64DA9AB4"/>
    <w:lvl w:ilvl="0">
      <w:start w:val="8"/>
      <w:numFmt w:val="decimal"/>
      <w:lvlText w:val="%1"/>
      <w:lvlJc w:val="left"/>
      <w:pPr>
        <w:ind w:left="360" w:hanging="360"/>
      </w:pPr>
      <w:rPr>
        <w:rFonts w:hint="default"/>
        <w:i w:val="0"/>
      </w:rPr>
    </w:lvl>
    <w:lvl w:ilvl="1">
      <w:start w:val="2"/>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42">
    <w:nsid w:val="79284F4B"/>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B443D6D"/>
    <w:multiLevelType w:val="multilevel"/>
    <w:tmpl w:val="8B5A5CD2"/>
    <w:lvl w:ilvl="0">
      <w:start w:val="6"/>
      <w:numFmt w:val="decimal"/>
      <w:lvlText w:val="%1"/>
      <w:lvlJc w:val="left"/>
      <w:pPr>
        <w:ind w:left="480" w:hanging="480"/>
      </w:pPr>
      <w:rPr>
        <w:rFonts w:hint="default"/>
      </w:rPr>
    </w:lvl>
    <w:lvl w:ilvl="1">
      <w:start w:val="4"/>
      <w:numFmt w:val="decimal"/>
      <w:lvlText w:val="%1.%2"/>
      <w:lvlJc w:val="left"/>
      <w:pPr>
        <w:ind w:left="840" w:hanging="48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3"/>
  </w:num>
  <w:num w:numId="3">
    <w:abstractNumId w:val="39"/>
  </w:num>
  <w:num w:numId="4">
    <w:abstractNumId w:val="25"/>
  </w:num>
  <w:num w:numId="5">
    <w:abstractNumId w:val="29"/>
  </w:num>
  <w:num w:numId="6">
    <w:abstractNumId w:val="17"/>
  </w:num>
  <w:num w:numId="7">
    <w:abstractNumId w:val="4"/>
  </w:num>
  <w:num w:numId="8">
    <w:abstractNumId w:val="42"/>
  </w:num>
  <w:num w:numId="9">
    <w:abstractNumId w:val="15"/>
  </w:num>
  <w:num w:numId="10">
    <w:abstractNumId w:val="24"/>
  </w:num>
  <w:num w:numId="11">
    <w:abstractNumId w:val="34"/>
  </w:num>
  <w:num w:numId="12">
    <w:abstractNumId w:val="28"/>
  </w:num>
  <w:num w:numId="13">
    <w:abstractNumId w:val="2"/>
  </w:num>
  <w:num w:numId="14">
    <w:abstractNumId w:val="30"/>
  </w:num>
  <w:num w:numId="15">
    <w:abstractNumId w:val="37"/>
  </w:num>
  <w:num w:numId="16">
    <w:abstractNumId w:val="23"/>
  </w:num>
  <w:num w:numId="17">
    <w:abstractNumId w:val="14"/>
  </w:num>
  <w:num w:numId="18">
    <w:abstractNumId w:val="38"/>
  </w:num>
  <w:num w:numId="19">
    <w:abstractNumId w:val="5"/>
  </w:num>
  <w:num w:numId="20">
    <w:abstractNumId w:val="33"/>
  </w:num>
  <w:num w:numId="21">
    <w:abstractNumId w:val="43"/>
  </w:num>
  <w:num w:numId="22">
    <w:abstractNumId w:val="32"/>
  </w:num>
  <w:num w:numId="23">
    <w:abstractNumId w:val="26"/>
  </w:num>
  <w:num w:numId="24">
    <w:abstractNumId w:val="21"/>
  </w:num>
  <w:num w:numId="25">
    <w:abstractNumId w:val="7"/>
  </w:num>
  <w:num w:numId="26">
    <w:abstractNumId w:val="8"/>
  </w:num>
  <w:num w:numId="27">
    <w:abstractNumId w:val="31"/>
  </w:num>
  <w:num w:numId="28">
    <w:abstractNumId w:val="10"/>
  </w:num>
  <w:num w:numId="29">
    <w:abstractNumId w:val="16"/>
  </w:num>
  <w:num w:numId="30">
    <w:abstractNumId w:val="1"/>
  </w:num>
  <w:num w:numId="31">
    <w:abstractNumId w:val="20"/>
  </w:num>
  <w:num w:numId="32">
    <w:abstractNumId w:val="36"/>
  </w:num>
  <w:num w:numId="33">
    <w:abstractNumId w:val="35"/>
  </w:num>
  <w:num w:numId="34">
    <w:abstractNumId w:val="6"/>
  </w:num>
  <w:num w:numId="35">
    <w:abstractNumId w:val="41"/>
  </w:num>
  <w:num w:numId="36">
    <w:abstractNumId w:val="12"/>
  </w:num>
  <w:num w:numId="37">
    <w:abstractNumId w:val="27"/>
  </w:num>
  <w:num w:numId="38">
    <w:abstractNumId w:val="22"/>
  </w:num>
  <w:num w:numId="39">
    <w:abstractNumId w:val="18"/>
  </w:num>
  <w:num w:numId="40">
    <w:abstractNumId w:val="40"/>
  </w:num>
  <w:num w:numId="41">
    <w:abstractNumId w:val="9"/>
  </w:num>
  <w:num w:numId="42">
    <w:abstractNumId w:val="0"/>
  </w:num>
  <w:num w:numId="43">
    <w:abstractNumId w:val="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All users Both" w:val="Rinker, Julie (Policy Admn)"/>
    <w:docVar w:name="AP All users Department" w:val="Not Assigned"/>
    <w:docVar w:name="AP All users Full Name" w:val="Julie Rinker"/>
    <w:docVar w:name="AP All users Job Title" w:val="Not Assigned"/>
    <w:docVar w:name="AP All users LNFN" w:val="Rinker, Julie"/>
    <w:docVar w:name="AP Both" w:val="THR Policy Administrator"/>
    <w:docVar w:name="AP Department" w:val="Not Assigned"/>
    <w:docVar w:name="AP Full Name" w:val="THR Policy Administrator"/>
    <w:docVar w:name="AP Groupname" w:val="THR Policy Administrator"/>
    <w:docVar w:name="AP GroupNames and All users Both" w:val="THR Policy Administrator; Rinker, Julie (Policy Admn)"/>
    <w:docVar w:name="AP GroupNames and All users Department" w:val="Not Assigned"/>
    <w:docVar w:name="AP GroupNames and All users Full Name" w:val="THR Policy Administrator; Julie Rinker"/>
    <w:docVar w:name="AP GroupNames and All users Job Title" w:val="Not Assigned"/>
    <w:docVar w:name="AP GroupNames and All users LNFN" w:val="THR Policy Administrator; Rinker, Julie"/>
    <w:docVar w:name="AP Job Title" w:val="Not Assigned"/>
    <w:docVar w:name="AP LNFN" w:val="THR Policy Administrator"/>
    <w:docVar w:name="AV All users Both" w:val="Not Assigned"/>
    <w:docVar w:name="AV All users Department" w:val="Not Assigned"/>
    <w:docVar w:name="AV All users Full Name" w:val="Not Assigned"/>
    <w:docVar w:name="AV All users Job Title" w:val="Not Assigned"/>
    <w:docVar w:name="AV All users LNFN" w:val="Not Assigned"/>
    <w:docVar w:name="AV Both" w:val="Not Assigned"/>
    <w:docVar w:name="AV Department" w:val="Not Assigned"/>
    <w:docVar w:name="AV Full Name" w:val="Not Assigned"/>
    <w:docVar w:name="AV Groupname" w:val="Not Assigned"/>
    <w:docVar w:name="AV GroupNames and All users Both" w:val="Not Assigned; Not Assigned"/>
    <w:docVar w:name="AV GroupNames and All users Department" w:val="Not Assigned"/>
    <w:docVar w:name="AV GroupNames and All users Full Name" w:val="Not Assigned; Not Assigned"/>
    <w:docVar w:name="AV GroupNames and All users Job Title" w:val="Not Assigned"/>
    <w:docVar w:name="AV GroupNames and All users LNFN" w:val="Not Assigned; Not Assigned"/>
    <w:docVar w:name="AV Job Title" w:val="Not Assigned"/>
    <w:docVar w:name="AV LNFN" w:val="Not Assigned"/>
    <w:docVar w:name="Business Title" w:val="Texas Health Resources"/>
    <w:docVar w:name="CA AccountAddress" w:val="N/A"/>
    <w:docVar w:name="CA AccountCity" w:val="N/A"/>
    <w:docVar w:name="CA AccountCountry" w:val="N/A"/>
    <w:docVar w:name="CA AccountName" w:val="N/A"/>
    <w:docVar w:name="CA AccountPostalCode" w:val="N/A"/>
    <w:docVar w:name="CA AccountState" w:val="N/A"/>
    <w:docVar w:name="CA All users Both" w:val="Not Assigned"/>
    <w:docVar w:name="CA All users Department" w:val="Not Assigned"/>
    <w:docVar w:name="CA All users Full Name" w:val="Not Assigned"/>
    <w:docVar w:name="CA All users Job Title" w:val="Not Assigned"/>
    <w:docVar w:name="CA All users LNFN" w:val="Not Assigned"/>
    <w:docVar w:name="CA Both" w:val="Not Assigned"/>
    <w:docVar w:name="CA Department" w:val="Not Assigned"/>
    <w:docVar w:name="CA Full Name" w:val="Not Assigned"/>
    <w:docVar w:name="CA Groupname" w:val="Not Assigned"/>
    <w:docVar w:name="CA GroupNames and All users Both" w:val="Not Assigned; Not Assigned"/>
    <w:docVar w:name="CA GroupNames and All users Department" w:val="Not Assigned"/>
    <w:docVar w:name="CA GroupNames and All users Full Name" w:val="Not Assigned; Not Assigned"/>
    <w:docVar w:name="CA GroupNames and All users Job Title" w:val="Not Assigned"/>
    <w:docVar w:name="CA GroupNames and All users LNFN" w:val="Not Assigned; Not Assigned"/>
    <w:docVar w:name="CA Job Title" w:val="Not Assigned"/>
    <w:docVar w:name="CA LNFN" w:val="Not Assigned"/>
    <w:docVar w:name="Category Titles" w:val="Administrative Services"/>
    <w:docVar w:name="Current Major Version Changes" w:val="6/14/13 - Patt Lowe sent email with additional change to Attachment A.  6/18/13 - Elaine Anderson approved adminsitrative change."/>
    <w:docVar w:name="Date Approved" w:val="06/19/2013"/>
    <w:docVar w:name="Date Archived" w:val="Not Archived Yet"/>
    <w:docVar w:name="Date Created" w:val="06/19/2013"/>
    <w:docVar w:name="Date Expires" w:val="06/19/2016"/>
    <w:docVar w:name="Date Last Reviewed" w:val="N/A"/>
    <w:docVar w:name="Date Submitted" w:val="Set As Approved"/>
    <w:docVar w:name="DC Both" w:val="Rinker, Julie (Policy Admn)"/>
    <w:docVar w:name="DC Department" w:val="Administration - SEVP"/>
    <w:docVar w:name="DC Full Name" w:val="Julie Rinker"/>
    <w:docVar w:name="DC Job Title" w:val="Policy Admn"/>
    <w:docVar w:name="DC LNFN" w:val="Rinker, Julie"/>
    <w:docVar w:name="Department(s)" w:val="Business Office"/>
    <w:docVar w:name="Document Title" w:val="Charity Care Program Policy - THR System Policy"/>
    <w:docVar w:name="Effective Date" w:val="06/19/2013"/>
    <w:docVar w:name="Full Year" w:val="2013"/>
    <w:docVar w:name="Keywords" w:val="charity care, charity"/>
    <w:docVar w:name="Last Periodic Review Date" w:val="06/19/2013"/>
    <w:docVar w:name="Long Day" w:val="Wednesday"/>
    <w:docVar w:name="Long Month" w:val="July"/>
    <w:docVar w:name="Next Periodic Review Date" w:val="06/19/2016"/>
    <w:docVar w:name="Next Review Date" w:val="06/19/2016"/>
    <w:docVar w:name="NoInsertedVariables" w:val="NoInsertedVariables"/>
    <w:docVar w:name="OPT_10216" w:val="Sub-Categories of Laboratory not selected."/>
    <w:docVar w:name="OPT_10254" w:val="Sub-Categories of The Joint Commission not selected."/>
    <w:docVar w:name="OPT_11049" w:val="Sub-Categories of * PolicyConnect Training Materials not selected."/>
    <w:docVar w:name="OPT_12035" w:val="Finance, Policies"/>
    <w:docVar w:name="OPT_15091" w:val="Sub-Categories of Patient Care not selected."/>
    <w:docVar w:name="OPT_Descr_10216" w:val="Sub-Categories of Laboratory not selected, or no descriptions were entered."/>
    <w:docVar w:name="OPT_Descr_10254" w:val="Sub-Categories of The Joint Commission not selected, or no descriptions were entered."/>
    <w:docVar w:name="OPT_Descr_11049" w:val="Sub-Categories of * PolicyConnect Training Materials not selected, or no descriptions were entered."/>
    <w:docVar w:name="OPT_Descr_12035" w:val="Sub-Categories of Administrative Services not selected, or no descriptions were entered."/>
    <w:docVar w:name="OPT_Descr_15091" w:val="Sub-Categories of Patient Care not selected, or no descriptions were entered."/>
    <w:docVar w:name="OPT_HRt_10216" w:val="Sub-Categories of Laboratory not selected."/>
    <w:docVar w:name="OPT_HRt_10254" w:val="Sub-Categories of The Joint Commission not selected."/>
    <w:docVar w:name="OPT_HRt_11049" w:val="Sub-Categories of * PolicyConnect Training Materials not selected."/>
    <w:docVar w:name="OPT_HRt_12035" w:val="Finance_x000d__x000a_Policies"/>
    <w:docVar w:name="OPT_HRt_15091" w:val="Sub-Categories of Patient Care not selected."/>
    <w:docVar w:name="OPT_Title_10216" w:val="Sub-Categories of Laboratory not selected."/>
    <w:docVar w:name="OPT_Title_10254" w:val="Sub-Categories of The Joint Commission not selected."/>
    <w:docVar w:name="OPT_Title_11049" w:val="Sub-Categories of * PolicyConnect Training Materials not selected."/>
    <w:docVar w:name="OPT_Title_12035" w:val="Administrative Services"/>
    <w:docVar w:name="OPT_Title_15091" w:val="Sub-Categories of Patient Care not selected."/>
    <w:docVar w:name="OPT_ValueDescr_10216" w:val="Sub-Categories of Laboratory not selected."/>
    <w:docVar w:name="OPT_ValueDescr_10254" w:val="Sub-Categories of The Joint Commission not selected."/>
    <w:docVar w:name="OPT_ValueDescr_11049" w:val="Sub-Categories of * PolicyConnect Training Materials not selected."/>
    <w:docVar w:name="OPT_ValueDescr_12035" w:val="Finance: _x000d__x000a_Policies:"/>
    <w:docVar w:name="OPT_ValueDescr_15091" w:val="Sub-Categories of Patient Care not selected."/>
    <w:docVar w:name="Option" w:val="N/A"/>
    <w:docVar w:name="Original Creation Date" w:val="06/01/2000"/>
    <w:docVar w:name="Originating Department" w:val="N/A"/>
    <w:docVar w:name="PO Both" w:val="Logsdon, James (VP Revenue Cycle Operations)"/>
    <w:docVar w:name="PO Department" w:val="Business Office"/>
    <w:docVar w:name="PO Full Name" w:val="James Logsdon"/>
    <w:docVar w:name="PO Job Title" w:val="VP Revenue Cycle Operations"/>
    <w:docVar w:name="PO LNFN" w:val="Logsdon, James"/>
    <w:docVar w:name="PPMDB" w:val="N/A"/>
    <w:docVar w:name="RD All users Both" w:val="Not Assigned"/>
    <w:docVar w:name="RD All users Department" w:val="Not Assigned"/>
    <w:docVar w:name="RD All users Full Name" w:val="Not Assigned"/>
    <w:docVar w:name="RD All users Job Title" w:val="Not Assigned"/>
    <w:docVar w:name="RD All users LNFN" w:val="Not Assigned"/>
    <w:docVar w:name="RD Both" w:val="Not Assigned"/>
    <w:docVar w:name="RD Department" w:val="Not Assigned"/>
    <w:docVar w:name="RD Full Name" w:val="Not Assigned"/>
    <w:docVar w:name="RD Groupname" w:val="Not Assigned"/>
    <w:docVar w:name="RD GroupNames and All users Both" w:val="Not Assigned; Not Assigned"/>
    <w:docVar w:name="RD GroupNames and All users Department" w:val="Not Assigned"/>
    <w:docVar w:name="RD GroupNames and All users Full Name" w:val="Not Assigned; Not Assigned"/>
    <w:docVar w:name="RD GroupNames and All users Job Title" w:val="Not Assigned"/>
    <w:docVar w:name="RD GroupNames and All users LNFN" w:val="Not Assigned; Not Assigned"/>
    <w:docVar w:name="RD Job Title" w:val="Not Assigned"/>
    <w:docVar w:name="RD LNFN" w:val="Not Assigned"/>
    <w:docVar w:name="Reference #" w:val="9376"/>
    <w:docVar w:name="Required Readers" w:val="Not Assigned"/>
    <w:docVar w:name="RV All users Both" w:val="Not Assigned"/>
    <w:docVar w:name="RV All users Department" w:val="Not Assigned"/>
    <w:docVar w:name="RV All users Full Name" w:val="Not Assigned"/>
    <w:docVar w:name="RV All users Job Title" w:val="Not Assigned"/>
    <w:docVar w:name="RV All users LNFN" w:val="Not Assigned"/>
    <w:docVar w:name="RV Both" w:val="Not Assigned"/>
    <w:docVar w:name="RV Department" w:val="Not Assigned"/>
    <w:docVar w:name="RV Full Name" w:val="Not Assigned"/>
    <w:docVar w:name="RV Groupname" w:val="Not Assigned"/>
    <w:docVar w:name="RV GroupNames and All users Both" w:val="Not Assigned; Not Assigned"/>
    <w:docVar w:name="RV GroupNames and All users Department" w:val="Not Assigned"/>
    <w:docVar w:name="RV GroupNames and All users Full Name" w:val="Not Assigned; Not Assigned"/>
    <w:docVar w:name="RV GroupNames and All users Job Title" w:val="Not Assigned"/>
    <w:docVar w:name="RV GroupNames and All users LNFN" w:val="Not Assigned; Not Assigned"/>
    <w:docVar w:name="RV Job Title" w:val="Not Assigned"/>
    <w:docVar w:name="RV LNFN" w:val="Not Assigned"/>
    <w:docVar w:name="Short Day" w:val="03"/>
    <w:docVar w:name="Short Month" w:val="07"/>
    <w:docVar w:name="site Name" w:val="THC, THFW, THD, THOP, THSW, THAM, THDN, THHEB, THP, THA, THR, THAZ, THK, THS, THRES, THPR, THCU, THSH, THRE, THAL"/>
    <w:docVar w:name="Supersedes" w:val="v.2 Charity Care Program Policy - THR System Policy"/>
    <w:docVar w:name="Two Digit Year" w:val="13"/>
    <w:docVar w:name="Undefined" w:val="N/A"/>
    <w:docVar w:name="Version" w:val="3"/>
    <w:docVar w:name="WR All users Both" w:val="Not Assigned"/>
    <w:docVar w:name="WR All users Department" w:val="Not Assigned"/>
    <w:docVar w:name="WR All users Full Name" w:val="Not Assigned"/>
    <w:docVar w:name="WR All users Job Title" w:val="Not Assigned"/>
    <w:docVar w:name="WR All users LNFN" w:val="Not Assigned"/>
    <w:docVar w:name="WR Both" w:val="Not Assigned"/>
    <w:docVar w:name="WR Department" w:val="Not Assigned"/>
    <w:docVar w:name="WR Full Name" w:val="Not Assigned"/>
    <w:docVar w:name="WR Groupname" w:val="Not Assigned"/>
    <w:docVar w:name="WR GroupNames and All users Both" w:val="Not Assigned; Not Assigned"/>
    <w:docVar w:name="WR GroupNames and All users Department" w:val="Not Assigned"/>
    <w:docVar w:name="WR GroupNames and All users Full Name" w:val="Not Assigned; Not Assigned"/>
    <w:docVar w:name="WR GroupNames and All users Job Title" w:val="Not Assigned"/>
    <w:docVar w:name="WR GroupNames and All users LNFN" w:val="Not Assigned; Not Assigned"/>
    <w:docVar w:name="WR Job Title" w:val="Not Assigned"/>
    <w:docVar w:name="WR LNFN" w:val="Not Assigned"/>
  </w:docVars>
  <w:rsids>
    <w:rsidRoot w:val="00201298"/>
    <w:rsid w:val="00005BAD"/>
    <w:rsid w:val="0003514F"/>
    <w:rsid w:val="00035473"/>
    <w:rsid w:val="00044EFE"/>
    <w:rsid w:val="000532B0"/>
    <w:rsid w:val="000822EF"/>
    <w:rsid w:val="0009540A"/>
    <w:rsid w:val="000956E2"/>
    <w:rsid w:val="000A1F42"/>
    <w:rsid w:val="000A26A3"/>
    <w:rsid w:val="000B27F6"/>
    <w:rsid w:val="000C55FB"/>
    <w:rsid w:val="000F375A"/>
    <w:rsid w:val="000F5EFA"/>
    <w:rsid w:val="001245F2"/>
    <w:rsid w:val="001264A7"/>
    <w:rsid w:val="001365FF"/>
    <w:rsid w:val="00142042"/>
    <w:rsid w:val="00165A25"/>
    <w:rsid w:val="001741F9"/>
    <w:rsid w:val="00174573"/>
    <w:rsid w:val="0018684E"/>
    <w:rsid w:val="0018766F"/>
    <w:rsid w:val="00191E99"/>
    <w:rsid w:val="00195E69"/>
    <w:rsid w:val="001A57E6"/>
    <w:rsid w:val="001A656A"/>
    <w:rsid w:val="001A7D3D"/>
    <w:rsid w:val="001C2B1C"/>
    <w:rsid w:val="001C30FA"/>
    <w:rsid w:val="001C6A0B"/>
    <w:rsid w:val="001D002F"/>
    <w:rsid w:val="001D2DE5"/>
    <w:rsid w:val="001D6C28"/>
    <w:rsid w:val="001F0441"/>
    <w:rsid w:val="00201298"/>
    <w:rsid w:val="00222598"/>
    <w:rsid w:val="00226E84"/>
    <w:rsid w:val="00234B61"/>
    <w:rsid w:val="00234E93"/>
    <w:rsid w:val="002702CD"/>
    <w:rsid w:val="00271C6C"/>
    <w:rsid w:val="0027661A"/>
    <w:rsid w:val="002805ED"/>
    <w:rsid w:val="00284412"/>
    <w:rsid w:val="002912ED"/>
    <w:rsid w:val="00292A07"/>
    <w:rsid w:val="002A0556"/>
    <w:rsid w:val="002A0A17"/>
    <w:rsid w:val="002A13F5"/>
    <w:rsid w:val="002B37F3"/>
    <w:rsid w:val="002C5794"/>
    <w:rsid w:val="002D2B60"/>
    <w:rsid w:val="002D527E"/>
    <w:rsid w:val="002E2A7C"/>
    <w:rsid w:val="002E3876"/>
    <w:rsid w:val="002E74E7"/>
    <w:rsid w:val="002F0BC7"/>
    <w:rsid w:val="002F5C81"/>
    <w:rsid w:val="00310CF8"/>
    <w:rsid w:val="00311B12"/>
    <w:rsid w:val="0031218C"/>
    <w:rsid w:val="003168D2"/>
    <w:rsid w:val="0032300A"/>
    <w:rsid w:val="00331C09"/>
    <w:rsid w:val="00340099"/>
    <w:rsid w:val="00357729"/>
    <w:rsid w:val="00357D53"/>
    <w:rsid w:val="003656B1"/>
    <w:rsid w:val="00373992"/>
    <w:rsid w:val="00383899"/>
    <w:rsid w:val="00383BB8"/>
    <w:rsid w:val="00392EF8"/>
    <w:rsid w:val="003A39E1"/>
    <w:rsid w:val="003A68D1"/>
    <w:rsid w:val="003B00CA"/>
    <w:rsid w:val="003B678A"/>
    <w:rsid w:val="003D6086"/>
    <w:rsid w:val="003E1A25"/>
    <w:rsid w:val="003E5114"/>
    <w:rsid w:val="003F53FC"/>
    <w:rsid w:val="003F7C86"/>
    <w:rsid w:val="004008C2"/>
    <w:rsid w:val="00407297"/>
    <w:rsid w:val="004107CE"/>
    <w:rsid w:val="00425568"/>
    <w:rsid w:val="00450A09"/>
    <w:rsid w:val="0045373A"/>
    <w:rsid w:val="004560A7"/>
    <w:rsid w:val="004613F9"/>
    <w:rsid w:val="00462428"/>
    <w:rsid w:val="00471948"/>
    <w:rsid w:val="004958D8"/>
    <w:rsid w:val="00497F97"/>
    <w:rsid w:val="004A3C30"/>
    <w:rsid w:val="004A77B6"/>
    <w:rsid w:val="004B089A"/>
    <w:rsid w:val="004B4A8A"/>
    <w:rsid w:val="004C07B3"/>
    <w:rsid w:val="004D38A4"/>
    <w:rsid w:val="004D7610"/>
    <w:rsid w:val="00513F0E"/>
    <w:rsid w:val="00516B04"/>
    <w:rsid w:val="00554D64"/>
    <w:rsid w:val="00561F84"/>
    <w:rsid w:val="00575940"/>
    <w:rsid w:val="00583D4E"/>
    <w:rsid w:val="005908D7"/>
    <w:rsid w:val="00591641"/>
    <w:rsid w:val="005A361E"/>
    <w:rsid w:val="005A580C"/>
    <w:rsid w:val="005A5CE4"/>
    <w:rsid w:val="005B1853"/>
    <w:rsid w:val="005C3119"/>
    <w:rsid w:val="005C7A45"/>
    <w:rsid w:val="005D605B"/>
    <w:rsid w:val="005E71F1"/>
    <w:rsid w:val="005F1901"/>
    <w:rsid w:val="00604B68"/>
    <w:rsid w:val="00620965"/>
    <w:rsid w:val="00621915"/>
    <w:rsid w:val="00621EC6"/>
    <w:rsid w:val="0063094F"/>
    <w:rsid w:val="006461F6"/>
    <w:rsid w:val="0065283B"/>
    <w:rsid w:val="00653D66"/>
    <w:rsid w:val="00683D4A"/>
    <w:rsid w:val="0068663A"/>
    <w:rsid w:val="0069012A"/>
    <w:rsid w:val="00695F81"/>
    <w:rsid w:val="006A1082"/>
    <w:rsid w:val="006A5090"/>
    <w:rsid w:val="006B1C4C"/>
    <w:rsid w:val="006B3640"/>
    <w:rsid w:val="006B5FAF"/>
    <w:rsid w:val="006C2607"/>
    <w:rsid w:val="006E3343"/>
    <w:rsid w:val="006F1F62"/>
    <w:rsid w:val="006F5CD6"/>
    <w:rsid w:val="00701168"/>
    <w:rsid w:val="00704D6D"/>
    <w:rsid w:val="00716987"/>
    <w:rsid w:val="0072759A"/>
    <w:rsid w:val="00731820"/>
    <w:rsid w:val="00732015"/>
    <w:rsid w:val="00740285"/>
    <w:rsid w:val="007659B9"/>
    <w:rsid w:val="00767E5E"/>
    <w:rsid w:val="00770BF3"/>
    <w:rsid w:val="00781639"/>
    <w:rsid w:val="00797EC4"/>
    <w:rsid w:val="007A1AFC"/>
    <w:rsid w:val="007A46C6"/>
    <w:rsid w:val="007B3E77"/>
    <w:rsid w:val="007B489B"/>
    <w:rsid w:val="007D0895"/>
    <w:rsid w:val="007D0A2D"/>
    <w:rsid w:val="007D54EC"/>
    <w:rsid w:val="007D7CDF"/>
    <w:rsid w:val="007E2F08"/>
    <w:rsid w:val="008078BB"/>
    <w:rsid w:val="0083026D"/>
    <w:rsid w:val="0083363F"/>
    <w:rsid w:val="00837A34"/>
    <w:rsid w:val="00844480"/>
    <w:rsid w:val="00844B5B"/>
    <w:rsid w:val="0085628A"/>
    <w:rsid w:val="00857E39"/>
    <w:rsid w:val="00866058"/>
    <w:rsid w:val="008748E8"/>
    <w:rsid w:val="0088338A"/>
    <w:rsid w:val="008872B5"/>
    <w:rsid w:val="008A5B22"/>
    <w:rsid w:val="008C37F0"/>
    <w:rsid w:val="008C4632"/>
    <w:rsid w:val="008C6F85"/>
    <w:rsid w:val="009012AA"/>
    <w:rsid w:val="0090220A"/>
    <w:rsid w:val="009022C3"/>
    <w:rsid w:val="00910497"/>
    <w:rsid w:val="00911888"/>
    <w:rsid w:val="009167DA"/>
    <w:rsid w:val="009171B8"/>
    <w:rsid w:val="0093160F"/>
    <w:rsid w:val="009373D6"/>
    <w:rsid w:val="0094101F"/>
    <w:rsid w:val="009419B6"/>
    <w:rsid w:val="0094445B"/>
    <w:rsid w:val="00944D4F"/>
    <w:rsid w:val="009517B8"/>
    <w:rsid w:val="00952DA0"/>
    <w:rsid w:val="00955D9A"/>
    <w:rsid w:val="009617D9"/>
    <w:rsid w:val="0097041C"/>
    <w:rsid w:val="009A1A8C"/>
    <w:rsid w:val="009A61FE"/>
    <w:rsid w:val="009D548D"/>
    <w:rsid w:val="009E457C"/>
    <w:rsid w:val="009E5030"/>
    <w:rsid w:val="009E5294"/>
    <w:rsid w:val="009E618E"/>
    <w:rsid w:val="009F5873"/>
    <w:rsid w:val="009F7D78"/>
    <w:rsid w:val="00A00857"/>
    <w:rsid w:val="00A0136C"/>
    <w:rsid w:val="00A04BCA"/>
    <w:rsid w:val="00A12A6F"/>
    <w:rsid w:val="00A2301B"/>
    <w:rsid w:val="00A36EA1"/>
    <w:rsid w:val="00A433DC"/>
    <w:rsid w:val="00A67898"/>
    <w:rsid w:val="00A7188D"/>
    <w:rsid w:val="00A96D2C"/>
    <w:rsid w:val="00AC46A6"/>
    <w:rsid w:val="00AD18A1"/>
    <w:rsid w:val="00AD1969"/>
    <w:rsid w:val="00AE09FF"/>
    <w:rsid w:val="00AE6288"/>
    <w:rsid w:val="00AF08D4"/>
    <w:rsid w:val="00B07A4B"/>
    <w:rsid w:val="00B07A95"/>
    <w:rsid w:val="00B13DB4"/>
    <w:rsid w:val="00B206AE"/>
    <w:rsid w:val="00B234AB"/>
    <w:rsid w:val="00B243DE"/>
    <w:rsid w:val="00B31238"/>
    <w:rsid w:val="00B40787"/>
    <w:rsid w:val="00B7706F"/>
    <w:rsid w:val="00B94D31"/>
    <w:rsid w:val="00BA0991"/>
    <w:rsid w:val="00BA5579"/>
    <w:rsid w:val="00BB1BC8"/>
    <w:rsid w:val="00BB2A63"/>
    <w:rsid w:val="00BC60C4"/>
    <w:rsid w:val="00BC6F83"/>
    <w:rsid w:val="00C005D8"/>
    <w:rsid w:val="00C105F2"/>
    <w:rsid w:val="00C15A7E"/>
    <w:rsid w:val="00C22925"/>
    <w:rsid w:val="00C254DC"/>
    <w:rsid w:val="00C300DD"/>
    <w:rsid w:val="00C410D8"/>
    <w:rsid w:val="00C7044C"/>
    <w:rsid w:val="00C81933"/>
    <w:rsid w:val="00C913FE"/>
    <w:rsid w:val="00CA4A8A"/>
    <w:rsid w:val="00CB34DB"/>
    <w:rsid w:val="00CB6AB9"/>
    <w:rsid w:val="00CC7CBD"/>
    <w:rsid w:val="00CF0EB6"/>
    <w:rsid w:val="00D01C79"/>
    <w:rsid w:val="00D02776"/>
    <w:rsid w:val="00D0332D"/>
    <w:rsid w:val="00D03E71"/>
    <w:rsid w:val="00D04C10"/>
    <w:rsid w:val="00D15E91"/>
    <w:rsid w:val="00D15E97"/>
    <w:rsid w:val="00D20419"/>
    <w:rsid w:val="00D21261"/>
    <w:rsid w:val="00D24BFB"/>
    <w:rsid w:val="00D32DA4"/>
    <w:rsid w:val="00D43E35"/>
    <w:rsid w:val="00D92805"/>
    <w:rsid w:val="00DA2359"/>
    <w:rsid w:val="00DA4910"/>
    <w:rsid w:val="00DA5796"/>
    <w:rsid w:val="00DB49D8"/>
    <w:rsid w:val="00DC5593"/>
    <w:rsid w:val="00DF1D5E"/>
    <w:rsid w:val="00E17A47"/>
    <w:rsid w:val="00E21BCA"/>
    <w:rsid w:val="00E27C47"/>
    <w:rsid w:val="00E54EF3"/>
    <w:rsid w:val="00E57034"/>
    <w:rsid w:val="00E602B7"/>
    <w:rsid w:val="00E603A3"/>
    <w:rsid w:val="00E60B12"/>
    <w:rsid w:val="00E6403A"/>
    <w:rsid w:val="00E659CC"/>
    <w:rsid w:val="00E76EB3"/>
    <w:rsid w:val="00E90155"/>
    <w:rsid w:val="00EB3840"/>
    <w:rsid w:val="00EB40C2"/>
    <w:rsid w:val="00ED25FE"/>
    <w:rsid w:val="00F00209"/>
    <w:rsid w:val="00F021F8"/>
    <w:rsid w:val="00F101F4"/>
    <w:rsid w:val="00F11F63"/>
    <w:rsid w:val="00F24EA0"/>
    <w:rsid w:val="00F269A2"/>
    <w:rsid w:val="00F36FE7"/>
    <w:rsid w:val="00F5456D"/>
    <w:rsid w:val="00F718DA"/>
    <w:rsid w:val="00F771A7"/>
    <w:rsid w:val="00F920ED"/>
    <w:rsid w:val="00F979B1"/>
    <w:rsid w:val="00FB433C"/>
    <w:rsid w:val="00FC17AD"/>
    <w:rsid w:val="00FC345D"/>
    <w:rsid w:val="00FD6DE8"/>
    <w:rsid w:val="00FD7B41"/>
    <w:rsid w:val="00FF1D45"/>
    <w:rsid w:val="00FF7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3AE4FF"/>
  <w15:docId w15:val="{0DC162E3-F1C2-4739-AE67-4AF56C6B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86"/>
    <w:pPr>
      <w:autoSpaceDE w:val="0"/>
      <w:autoSpaceDN w:val="0"/>
      <w:adjustRightInd w:val="0"/>
      <w:spacing w:before="320" w:line="324" w:lineRule="auto"/>
    </w:pPr>
    <w:rPr>
      <w:rFonts w:ascii="Arial" w:eastAsia="Times New Roman" w:hAnsi="Arial"/>
      <w:sz w:val="22"/>
      <w:szCs w:val="24"/>
      <w:lang w:bidi="he-IL"/>
    </w:rPr>
  </w:style>
  <w:style w:type="paragraph" w:styleId="Heading1">
    <w:name w:val="heading 1"/>
    <w:basedOn w:val="Normal"/>
    <w:next w:val="Normal"/>
    <w:link w:val="Heading1Char"/>
    <w:uiPriority w:val="9"/>
    <w:qFormat/>
    <w:rsid w:val="001C30FA"/>
    <w:pPr>
      <w:keepNext/>
      <w:numPr>
        <w:numId w:val="43"/>
      </w:numPr>
      <w:outlineLvl w:val="0"/>
    </w:pPr>
    <w:rPr>
      <w:rFonts w:cs="Arial"/>
      <w:b/>
      <w:i/>
      <w:szCs w:val="22"/>
    </w:rPr>
  </w:style>
  <w:style w:type="paragraph" w:styleId="Heading2">
    <w:name w:val="heading 2"/>
    <w:basedOn w:val="Normal"/>
    <w:next w:val="Normal"/>
    <w:link w:val="Heading2Char"/>
    <w:uiPriority w:val="9"/>
    <w:unhideWhenUsed/>
    <w:qFormat/>
    <w:rsid w:val="001C30FA"/>
    <w:pPr>
      <w:keepNext/>
      <w:numPr>
        <w:ilvl w:val="1"/>
        <w:numId w:val="43"/>
      </w:numPr>
      <w:spacing w:before="240"/>
      <w:outlineLvl w:val="1"/>
    </w:pPr>
    <w:rPr>
      <w:rFonts w:asciiTheme="minorBidi" w:eastAsiaTheme="majorEastAsia" w:hAnsiTheme="minorBidi" w:cstheme="majorBidi"/>
      <w:bCs/>
      <w:iCs/>
      <w:szCs w:val="28"/>
    </w:rPr>
  </w:style>
  <w:style w:type="paragraph" w:styleId="Heading3">
    <w:name w:val="heading 3"/>
    <w:basedOn w:val="Normal"/>
    <w:next w:val="Normal"/>
    <w:link w:val="Heading3Char"/>
    <w:uiPriority w:val="9"/>
    <w:unhideWhenUsed/>
    <w:qFormat/>
    <w:rsid w:val="001C30FA"/>
    <w:pPr>
      <w:keepNext/>
      <w:numPr>
        <w:ilvl w:val="2"/>
        <w:numId w:val="43"/>
      </w:numPr>
      <w:outlineLvl w:val="2"/>
    </w:pPr>
    <w:rPr>
      <w:rFonts w:eastAsiaTheme="majorEastAsia" w:cstheme="majorBidi"/>
      <w:bCs/>
      <w:szCs w:val="26"/>
    </w:rPr>
  </w:style>
  <w:style w:type="paragraph" w:styleId="Heading4">
    <w:name w:val="heading 4"/>
    <w:basedOn w:val="Normal"/>
    <w:next w:val="Normal"/>
    <w:link w:val="Heading4Char"/>
    <w:uiPriority w:val="9"/>
    <w:unhideWhenUsed/>
    <w:qFormat/>
    <w:rsid w:val="003D6086"/>
    <w:pPr>
      <w:outlineLvl w:val="3"/>
    </w:pPr>
    <w:rPr>
      <w:b/>
      <w:bCs/>
      <w:u w:val="single"/>
    </w:rPr>
  </w:style>
  <w:style w:type="paragraph" w:styleId="Heading5">
    <w:name w:val="heading 5"/>
    <w:basedOn w:val="Normal"/>
    <w:next w:val="Normal"/>
    <w:link w:val="Heading5Char"/>
    <w:uiPriority w:val="9"/>
    <w:unhideWhenUsed/>
    <w:qFormat/>
    <w:rsid w:val="003D608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Heading3"/>
    <w:link w:val="ListParagraphChar"/>
    <w:uiPriority w:val="34"/>
    <w:qFormat/>
    <w:rsid w:val="001C30FA"/>
    <w:pPr>
      <w:keepNext w:val="0"/>
      <w:numPr>
        <w:ilvl w:val="3"/>
      </w:numPr>
    </w:pPr>
  </w:style>
  <w:style w:type="paragraph" w:styleId="Header">
    <w:name w:val="header"/>
    <w:basedOn w:val="Normal"/>
    <w:link w:val="HeaderChar"/>
    <w:uiPriority w:val="99"/>
    <w:unhideWhenUsed/>
    <w:rsid w:val="00201298"/>
    <w:pPr>
      <w:tabs>
        <w:tab w:val="center" w:pos="4680"/>
        <w:tab w:val="right" w:pos="9360"/>
      </w:tabs>
    </w:pPr>
    <w:rPr>
      <w:lang w:val="x-none" w:eastAsia="x-none"/>
    </w:rPr>
  </w:style>
  <w:style w:type="character" w:customStyle="1" w:styleId="HeaderChar">
    <w:name w:val="Header Char"/>
    <w:link w:val="Header"/>
    <w:uiPriority w:val="99"/>
    <w:rsid w:val="00201298"/>
    <w:rPr>
      <w:rFonts w:ascii="Times New Roman" w:eastAsia="Times New Roman" w:hAnsi="Times New Roman" w:cs="Times New Roman"/>
      <w:sz w:val="20"/>
      <w:szCs w:val="24"/>
      <w:lang w:bidi="he-IL"/>
    </w:rPr>
  </w:style>
  <w:style w:type="paragraph" w:styleId="Footer">
    <w:name w:val="footer"/>
    <w:basedOn w:val="Normal"/>
    <w:link w:val="FooterChar"/>
    <w:uiPriority w:val="99"/>
    <w:unhideWhenUsed/>
    <w:rsid w:val="00201298"/>
    <w:pPr>
      <w:tabs>
        <w:tab w:val="center" w:pos="4680"/>
        <w:tab w:val="right" w:pos="9360"/>
      </w:tabs>
    </w:pPr>
    <w:rPr>
      <w:lang w:val="x-none" w:eastAsia="x-none"/>
    </w:rPr>
  </w:style>
  <w:style w:type="character" w:customStyle="1" w:styleId="FooterChar">
    <w:name w:val="Footer Char"/>
    <w:link w:val="Footer"/>
    <w:uiPriority w:val="99"/>
    <w:rsid w:val="00201298"/>
    <w:rPr>
      <w:rFonts w:ascii="Times New Roman" w:eastAsia="Times New Roman" w:hAnsi="Times New Roman" w:cs="Times New Roman"/>
      <w:sz w:val="20"/>
      <w:szCs w:val="24"/>
      <w:lang w:bidi="he-IL"/>
    </w:rPr>
  </w:style>
  <w:style w:type="paragraph" w:styleId="BalloonText">
    <w:name w:val="Balloon Text"/>
    <w:basedOn w:val="Normal"/>
    <w:link w:val="BalloonTextChar"/>
    <w:uiPriority w:val="99"/>
    <w:semiHidden/>
    <w:unhideWhenUsed/>
    <w:rsid w:val="008C4010"/>
    <w:rPr>
      <w:rFonts w:ascii="Tahoma" w:hAnsi="Tahoma" w:cs="Tahoma"/>
      <w:sz w:val="16"/>
      <w:szCs w:val="16"/>
      <w:lang w:val="x-none" w:eastAsia="x-none"/>
    </w:rPr>
  </w:style>
  <w:style w:type="character" w:customStyle="1" w:styleId="BalloonTextChar">
    <w:name w:val="Balloon Text Char"/>
    <w:link w:val="BalloonText"/>
    <w:uiPriority w:val="99"/>
    <w:semiHidden/>
    <w:rsid w:val="008C4010"/>
    <w:rPr>
      <w:rFonts w:ascii="Tahoma" w:eastAsia="Times New Roman" w:hAnsi="Tahoma" w:cs="Tahoma"/>
      <w:sz w:val="16"/>
      <w:szCs w:val="16"/>
      <w:lang w:bidi="he-IL"/>
    </w:rPr>
  </w:style>
  <w:style w:type="paragraph" w:styleId="NormalWeb">
    <w:name w:val="Normal (Web)"/>
    <w:basedOn w:val="Normal"/>
    <w:uiPriority w:val="99"/>
    <w:rsid w:val="009457C9"/>
    <w:pPr>
      <w:autoSpaceDE/>
      <w:autoSpaceDN/>
      <w:adjustRightInd/>
      <w:spacing w:before="100" w:beforeAutospacing="1" w:after="100" w:afterAutospacing="1"/>
    </w:pPr>
    <w:rPr>
      <w:sz w:val="24"/>
      <w:lang w:bidi="ar-SA"/>
    </w:rPr>
  </w:style>
  <w:style w:type="character" w:styleId="Emphasis">
    <w:name w:val="Emphasis"/>
    <w:uiPriority w:val="20"/>
    <w:qFormat/>
    <w:rsid w:val="00DE6F3C"/>
    <w:rPr>
      <w:b/>
      <w:bCs/>
      <w:i w:val="0"/>
      <w:iCs w:val="0"/>
    </w:rPr>
  </w:style>
  <w:style w:type="table" w:styleId="TableGrid">
    <w:name w:val="Table Grid"/>
    <w:basedOn w:val="TableNormal"/>
    <w:uiPriority w:val="59"/>
    <w:rsid w:val="00C410D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A0A17"/>
    <w:rPr>
      <w:sz w:val="16"/>
      <w:szCs w:val="16"/>
    </w:rPr>
  </w:style>
  <w:style w:type="paragraph" w:styleId="CommentText">
    <w:name w:val="annotation text"/>
    <w:basedOn w:val="Normal"/>
    <w:link w:val="CommentTextChar"/>
    <w:uiPriority w:val="99"/>
    <w:semiHidden/>
    <w:unhideWhenUsed/>
    <w:rsid w:val="002A0A17"/>
    <w:rPr>
      <w:szCs w:val="20"/>
    </w:rPr>
  </w:style>
  <w:style w:type="character" w:customStyle="1" w:styleId="CommentTextChar">
    <w:name w:val="Comment Text Char"/>
    <w:link w:val="CommentText"/>
    <w:uiPriority w:val="99"/>
    <w:semiHidden/>
    <w:rsid w:val="002A0A17"/>
    <w:rPr>
      <w:rFonts w:ascii="Times New Roman" w:eastAsia="Times New Roman" w:hAnsi="Times New Roman"/>
      <w:lang w:bidi="he-IL"/>
    </w:rPr>
  </w:style>
  <w:style w:type="paragraph" w:styleId="CommentSubject">
    <w:name w:val="annotation subject"/>
    <w:basedOn w:val="CommentText"/>
    <w:next w:val="CommentText"/>
    <w:link w:val="CommentSubjectChar"/>
    <w:uiPriority w:val="99"/>
    <w:semiHidden/>
    <w:unhideWhenUsed/>
    <w:rsid w:val="002A0A17"/>
    <w:rPr>
      <w:b/>
      <w:bCs/>
    </w:rPr>
  </w:style>
  <w:style w:type="character" w:customStyle="1" w:styleId="CommentSubjectChar">
    <w:name w:val="Comment Subject Char"/>
    <w:link w:val="CommentSubject"/>
    <w:uiPriority w:val="99"/>
    <w:semiHidden/>
    <w:rsid w:val="002A0A17"/>
    <w:rPr>
      <w:rFonts w:ascii="Times New Roman" w:eastAsia="Times New Roman" w:hAnsi="Times New Roman"/>
      <w:b/>
      <w:bCs/>
      <w:lang w:bidi="he-IL"/>
    </w:rPr>
  </w:style>
  <w:style w:type="character" w:styleId="Hyperlink">
    <w:name w:val="Hyperlink"/>
    <w:uiPriority w:val="99"/>
    <w:unhideWhenUsed/>
    <w:rsid w:val="004107CE"/>
    <w:rPr>
      <w:color w:val="0000FF"/>
      <w:u w:val="single"/>
    </w:rPr>
  </w:style>
  <w:style w:type="paragraph" w:styleId="Revision">
    <w:name w:val="Revision"/>
    <w:hidden/>
    <w:uiPriority w:val="99"/>
    <w:semiHidden/>
    <w:rsid w:val="008872B5"/>
    <w:rPr>
      <w:rFonts w:ascii="Times New Roman" w:eastAsia="Times New Roman" w:hAnsi="Times New Roman"/>
      <w:szCs w:val="24"/>
      <w:lang w:bidi="he-IL"/>
    </w:rPr>
  </w:style>
  <w:style w:type="paragraph" w:customStyle="1" w:styleId="Default">
    <w:name w:val="Default"/>
    <w:rsid w:val="00E603A3"/>
    <w:pPr>
      <w:autoSpaceDE w:val="0"/>
      <w:autoSpaceDN w:val="0"/>
      <w:adjustRightInd w:val="0"/>
    </w:pPr>
    <w:rPr>
      <w:rFonts w:cs="Calibri"/>
      <w:color w:val="000000"/>
      <w:sz w:val="24"/>
      <w:szCs w:val="24"/>
    </w:rPr>
  </w:style>
  <w:style w:type="numbering" w:customStyle="1" w:styleId="Style1">
    <w:name w:val="Style1"/>
    <w:uiPriority w:val="99"/>
    <w:rsid w:val="00331C09"/>
    <w:pPr>
      <w:numPr>
        <w:numId w:val="39"/>
      </w:numPr>
    </w:pPr>
  </w:style>
  <w:style w:type="character" w:customStyle="1" w:styleId="Heading1Char">
    <w:name w:val="Heading 1 Char"/>
    <w:basedOn w:val="DefaultParagraphFont"/>
    <w:link w:val="Heading1"/>
    <w:uiPriority w:val="9"/>
    <w:rsid w:val="001C30FA"/>
    <w:rPr>
      <w:rFonts w:ascii="Arial" w:eastAsia="Times New Roman" w:hAnsi="Arial" w:cs="Arial"/>
      <w:b/>
      <w:i/>
      <w:sz w:val="22"/>
      <w:szCs w:val="22"/>
      <w:lang w:bidi="he-IL"/>
    </w:rPr>
  </w:style>
  <w:style w:type="character" w:customStyle="1" w:styleId="Heading2Char">
    <w:name w:val="Heading 2 Char"/>
    <w:basedOn w:val="DefaultParagraphFont"/>
    <w:link w:val="Heading2"/>
    <w:uiPriority w:val="9"/>
    <w:rsid w:val="001C30FA"/>
    <w:rPr>
      <w:rFonts w:asciiTheme="minorBidi" w:eastAsiaTheme="majorEastAsia" w:hAnsiTheme="minorBidi" w:cstheme="majorBidi"/>
      <w:bCs/>
      <w:iCs/>
      <w:sz w:val="22"/>
      <w:szCs w:val="28"/>
      <w:lang w:bidi="he-IL"/>
    </w:rPr>
  </w:style>
  <w:style w:type="character" w:customStyle="1" w:styleId="Heading3Char">
    <w:name w:val="Heading 3 Char"/>
    <w:basedOn w:val="DefaultParagraphFont"/>
    <w:link w:val="Heading3"/>
    <w:uiPriority w:val="9"/>
    <w:rsid w:val="001C30FA"/>
    <w:rPr>
      <w:rFonts w:ascii="Arial" w:eastAsiaTheme="majorEastAsia" w:hAnsi="Arial" w:cstheme="majorBidi"/>
      <w:bCs/>
      <w:sz w:val="22"/>
      <w:szCs w:val="26"/>
      <w:lang w:bidi="he-IL"/>
    </w:rPr>
  </w:style>
  <w:style w:type="paragraph" w:styleId="NoSpacing">
    <w:name w:val="No Spacing"/>
    <w:uiPriority w:val="1"/>
    <w:qFormat/>
    <w:rsid w:val="003D6086"/>
    <w:pPr>
      <w:autoSpaceDE w:val="0"/>
      <w:autoSpaceDN w:val="0"/>
      <w:adjustRightInd w:val="0"/>
      <w:spacing w:line="324" w:lineRule="auto"/>
    </w:pPr>
    <w:rPr>
      <w:rFonts w:ascii="Arial" w:eastAsia="Times New Roman" w:hAnsi="Arial"/>
      <w:sz w:val="22"/>
      <w:szCs w:val="24"/>
      <w:lang w:bidi="he-IL"/>
    </w:rPr>
  </w:style>
  <w:style w:type="character" w:styleId="SubtleEmphasis">
    <w:name w:val="Subtle Emphasis"/>
    <w:uiPriority w:val="19"/>
    <w:qFormat/>
    <w:rsid w:val="00DB49D8"/>
    <w:rPr>
      <w:rFonts w:cstheme="minorBidi"/>
      <w:szCs w:val="22"/>
      <w:u w:val="single"/>
    </w:rPr>
  </w:style>
  <w:style w:type="character" w:customStyle="1" w:styleId="Heading4Char">
    <w:name w:val="Heading 4 Char"/>
    <w:basedOn w:val="DefaultParagraphFont"/>
    <w:link w:val="Heading4"/>
    <w:uiPriority w:val="9"/>
    <w:rsid w:val="003D6086"/>
    <w:rPr>
      <w:rFonts w:ascii="Arial" w:eastAsia="Times New Roman" w:hAnsi="Arial"/>
      <w:b/>
      <w:bCs/>
      <w:sz w:val="22"/>
      <w:szCs w:val="24"/>
      <w:u w:val="single"/>
      <w:lang w:bidi="he-IL"/>
    </w:rPr>
  </w:style>
  <w:style w:type="paragraph" w:customStyle="1" w:styleId="ListParagraph2">
    <w:name w:val="List Paragraph 2"/>
    <w:basedOn w:val="ListParagraph"/>
    <w:link w:val="ListParagraph2Char"/>
    <w:qFormat/>
    <w:rsid w:val="001C30FA"/>
    <w:pPr>
      <w:numPr>
        <w:ilvl w:val="4"/>
      </w:numPr>
      <w:spacing w:before="0"/>
      <w:contextualSpacing/>
    </w:pPr>
  </w:style>
  <w:style w:type="paragraph" w:styleId="Title">
    <w:name w:val="Title"/>
    <w:basedOn w:val="Normal"/>
    <w:next w:val="Normal"/>
    <w:link w:val="TitleChar"/>
    <w:uiPriority w:val="10"/>
    <w:qFormat/>
    <w:rsid w:val="00F11F63"/>
    <w:pPr>
      <w:spacing w:before="0"/>
      <w:jc w:val="center"/>
    </w:pPr>
    <w:rPr>
      <w:b/>
      <w:bCs/>
    </w:rPr>
  </w:style>
  <w:style w:type="character" w:customStyle="1" w:styleId="ListParagraphChar">
    <w:name w:val="List Paragraph Char"/>
    <w:basedOn w:val="Heading3Char"/>
    <w:link w:val="ListParagraph"/>
    <w:uiPriority w:val="34"/>
    <w:rsid w:val="001C30FA"/>
    <w:rPr>
      <w:rFonts w:ascii="Arial" w:eastAsiaTheme="majorEastAsia" w:hAnsi="Arial" w:cstheme="majorBidi"/>
      <w:bCs/>
      <w:sz w:val="22"/>
      <w:szCs w:val="26"/>
      <w:lang w:bidi="he-IL"/>
    </w:rPr>
  </w:style>
  <w:style w:type="character" w:customStyle="1" w:styleId="ListParagraph2Char">
    <w:name w:val="List Paragraph 2 Char"/>
    <w:basedOn w:val="ListParagraphChar"/>
    <w:link w:val="ListParagraph2"/>
    <w:rsid w:val="001C30FA"/>
    <w:rPr>
      <w:rFonts w:ascii="Arial" w:eastAsiaTheme="majorEastAsia" w:hAnsi="Arial" w:cstheme="majorBidi"/>
      <w:bCs/>
      <w:sz w:val="22"/>
      <w:szCs w:val="26"/>
      <w:lang w:bidi="he-IL"/>
    </w:rPr>
  </w:style>
  <w:style w:type="character" w:customStyle="1" w:styleId="TitleChar">
    <w:name w:val="Title Char"/>
    <w:basedOn w:val="DefaultParagraphFont"/>
    <w:link w:val="Title"/>
    <w:uiPriority w:val="10"/>
    <w:rsid w:val="00F11F63"/>
    <w:rPr>
      <w:rFonts w:ascii="Arial" w:eastAsia="Times New Roman" w:hAnsi="Arial"/>
      <w:b/>
      <w:bCs/>
      <w:sz w:val="22"/>
      <w:szCs w:val="24"/>
      <w:lang w:bidi="he-IL"/>
    </w:rPr>
  </w:style>
  <w:style w:type="paragraph" w:customStyle="1" w:styleId="ListParagraph3">
    <w:name w:val="List Paragraph 3"/>
    <w:basedOn w:val="Normal"/>
    <w:link w:val="ListParagraph3Char"/>
    <w:qFormat/>
    <w:rsid w:val="003D6086"/>
    <w:pPr>
      <w:keepNext/>
      <w:numPr>
        <w:numId w:val="44"/>
      </w:numPr>
      <w:ind w:left="907" w:hanging="907"/>
    </w:pPr>
    <w:rPr>
      <w:b/>
      <w:bCs/>
      <w:u w:val="single"/>
    </w:rPr>
  </w:style>
  <w:style w:type="character" w:customStyle="1" w:styleId="Heading5Char">
    <w:name w:val="Heading 5 Char"/>
    <w:basedOn w:val="DefaultParagraphFont"/>
    <w:link w:val="Heading5"/>
    <w:uiPriority w:val="9"/>
    <w:rsid w:val="003D6086"/>
    <w:rPr>
      <w:rFonts w:asciiTheme="minorHAnsi" w:eastAsiaTheme="minorEastAsia" w:hAnsiTheme="minorHAnsi" w:cstheme="minorBidi"/>
      <w:b/>
      <w:bCs/>
      <w:i/>
      <w:iCs/>
      <w:sz w:val="26"/>
      <w:szCs w:val="26"/>
      <w:lang w:bidi="he-IL"/>
    </w:rPr>
  </w:style>
  <w:style w:type="character" w:customStyle="1" w:styleId="ListParagraph3Char">
    <w:name w:val="List Paragraph 3 Char"/>
    <w:basedOn w:val="DefaultParagraphFont"/>
    <w:link w:val="ListParagraph3"/>
    <w:rsid w:val="003D6086"/>
    <w:rPr>
      <w:rFonts w:ascii="Arial" w:eastAsia="Times New Roman" w:hAnsi="Arial"/>
      <w:b/>
      <w:bCs/>
      <w:sz w:val="22"/>
      <w:szCs w:val="24"/>
      <w:u w:val="single"/>
      <w:lang w:bidi="he-IL"/>
    </w:rPr>
  </w:style>
  <w:style w:type="paragraph" w:styleId="BodyText">
    <w:name w:val="Body Text"/>
    <w:basedOn w:val="Normal"/>
    <w:link w:val="BodyTextChar"/>
    <w:uiPriority w:val="99"/>
    <w:rsid w:val="003D6086"/>
    <w:pPr>
      <w:spacing w:before="0"/>
      <w:ind w:left="907"/>
    </w:pPr>
  </w:style>
  <w:style w:type="character" w:customStyle="1" w:styleId="BodyTextChar">
    <w:name w:val="Body Text Char"/>
    <w:basedOn w:val="DefaultParagraphFont"/>
    <w:link w:val="BodyText"/>
    <w:uiPriority w:val="99"/>
    <w:rsid w:val="003D6086"/>
    <w:rPr>
      <w:rFonts w:ascii="Arial" w:eastAsia="Times New Roman" w:hAnsi="Arial"/>
      <w:sz w:val="22"/>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6d0bd4aebe44f048518c2b92e912dde xmlns="189d0439-5b38-42da-9e42-125d229fd3cc">
      <Terms xmlns="http://schemas.microsoft.com/office/infopath/2007/PartnerControls"/>
    </d6d0bd4aebe44f048518c2b92e912dde>
    <nb56471b3b68479b862171af60c4d604 xmlns="189d0439-5b38-42da-9e42-125d229fd3cc">
      <Terms xmlns="http://schemas.microsoft.com/office/infopath/2007/PartnerControls">
        <TermInfo xmlns="http://schemas.microsoft.com/office/infopath/2007/PartnerControls">
          <TermName xmlns="http://schemas.microsoft.com/office/infopath/2007/PartnerControls">Texas Health Resources</TermName>
          <TermId xmlns="http://schemas.microsoft.com/office/infopath/2007/PartnerControls">9d01499c-6067-4e78-a120-8254271773aa</TermId>
        </TermInfo>
      </Terms>
    </nb56471b3b68479b862171af60c4d604>
    <Category_x0020_Lookup xmlns="189d0439-5b38-42da-9e42-125d229fd3cc" xsi:nil="true"/>
    <Language0 xmlns="189d0439-5b38-42da-9e42-125d229fd3cc" xsi:nil="true"/>
    <me2345ccb9b74a88a67ac77d9edc80a2 xmlns="189d0439-5b38-42da-9e42-125d229fd3cc">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fbd1e978-427d-46c5-9db1-45e2afc67e79</TermId>
        </TermInfo>
      </Terms>
    </me2345ccb9b74a88a67ac77d9edc80a2>
    <Entity_x0020_Usage0 xmlns="189d0439-5b38-42da-9e42-125d229fd3cc" xsi:nil="true"/>
    <Submitted_x0020_By xmlns="189d0439-5b38-42da-9e42-125d229fd3cc">
      <UserInfo>
        <DisplayName>TEXAS\caducsw</DisplayName>
        <AccountId>5965</AccountId>
        <AccountType/>
      </UserInfo>
    </Submitted_x0020_By>
    <TaxKeywordTaxHTField xmlns="55a9bad4-5b4d-4166-9db9-296c9c540192">
      <Terms xmlns="http://schemas.microsoft.com/office/infopath/2007/PartnerControls"/>
    </TaxKeywordTaxHTField>
    <TaxCatchAll xmlns="55a9bad4-5b4d-4166-9db9-296c9c540192">
      <Value>109</Value>
      <Value>22</Value>
    </TaxCatchAll>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A6D965AE3A7943A908BBE27A15E3D2" ma:contentTypeVersion="26" ma:contentTypeDescription="Create a new document." ma:contentTypeScope="" ma:versionID="c4e252d01c109ce386e561c4abff79cb">
  <xsd:schema xmlns:xsd="http://www.w3.org/2001/XMLSchema" xmlns:xs="http://www.w3.org/2001/XMLSchema" xmlns:p="http://schemas.microsoft.com/office/2006/metadata/properties" xmlns:ns1="http://schemas.microsoft.com/sharepoint/v3" xmlns:ns2="189d0439-5b38-42da-9e42-125d229fd3cc" xmlns:ns3="55a9bad4-5b4d-4166-9db9-296c9c540192" targetNamespace="http://schemas.microsoft.com/office/2006/metadata/properties" ma:root="true" ma:fieldsID="28354234a8a80e3e875a72da18203d15" ns1:_="" ns2:_="" ns3:_="">
    <xsd:import namespace="http://schemas.microsoft.com/sharepoint/v3"/>
    <xsd:import namespace="189d0439-5b38-42da-9e42-125d229fd3cc"/>
    <xsd:import namespace="55a9bad4-5b4d-4166-9db9-296c9c540192"/>
    <xsd:element name="properties">
      <xsd:complexType>
        <xsd:sequence>
          <xsd:element name="documentManagement">
            <xsd:complexType>
              <xsd:all>
                <xsd:element ref="ns2:Submitted_x0020_By" minOccurs="0"/>
                <xsd:element ref="ns2:Category_x0020_Lookup" minOccurs="0"/>
                <xsd:element ref="ns2:Entity_x0020_Usage0" minOccurs="0"/>
                <xsd:element ref="ns2:Language0" minOccurs="0"/>
                <xsd:element ref="ns3:TaxKeywordTaxHTField" minOccurs="0"/>
                <xsd:element ref="ns3:TaxCatchAll" minOccurs="0"/>
                <xsd:element ref="ns1:AverageRating" minOccurs="0"/>
                <xsd:element ref="ns1:RatingCount" minOccurs="0"/>
                <xsd:element ref="ns2:me2345ccb9b74a88a67ac77d9edc80a2" minOccurs="0"/>
                <xsd:element ref="ns2:d6d0bd4aebe44f048518c2b92e912dde" minOccurs="0"/>
                <xsd:element ref="ns2:nb56471b3b68479b862171af60c4d60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9d0439-5b38-42da-9e42-125d229fd3cc" elementFormDefault="qualified">
    <xsd:import namespace="http://schemas.microsoft.com/office/2006/documentManagement/types"/>
    <xsd:import namespace="http://schemas.microsoft.com/office/infopath/2007/PartnerControls"/>
    <xsd:element name="Submitted_x0020_By" ma:index="8" nillable="true" ma:displayName="Submitted By" ma:description="This column will be used to design a view for the customer to easily find documents they submitted." ma:list="UserInfo" ma:SearchPeopleOnly="false" ma:SharePointGroup="0" ma:internalName="Submitt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_x0020_Lookup" ma:index="9" nillable="true" ma:displayName="Category OLD" ma:list="{0f965dd6-24d4-4568-860d-262ab32ada82}" ma:internalName="Category_x0020_Lookup" ma:showField="Title">
      <xsd:simpleType>
        <xsd:restriction base="dms:Lookup"/>
      </xsd:simpleType>
    </xsd:element>
    <xsd:element name="Entity_x0020_Usage0" ma:index="10" nillable="true" ma:displayName="Entity Usage OLD" ma:list="{85ed31dd-6e17-4915-8d7b-5815d67ffe20}" ma:internalName="Entity_x0020_Usage0" ma:showField="Title">
      <xsd:simpleType>
        <xsd:restriction base="dms:Lookup"/>
      </xsd:simpleType>
    </xsd:element>
    <xsd:element name="Language0" ma:index="11" nillable="true" ma:displayName="Language OLD" ma:list="{4eaa4ec3-6d48-405a-9223-267af15c1edf}" ma:internalName="Language0" ma:showField="Title">
      <xsd:simpleType>
        <xsd:restriction base="dms:Lookup"/>
      </xsd:simpleType>
    </xsd:element>
    <xsd:element name="me2345ccb9b74a88a67ac77d9edc80a2" ma:index="18" nillable="true" ma:taxonomy="true" ma:internalName="me2345ccb9b74a88a67ac77d9edc80a2" ma:taxonomyFieldName="Languages" ma:displayName="Language" ma:indexed="true" ma:default="" ma:fieldId="{6e2345cc-b9b7-4a88-a67a-c77d9edc80a2}" ma:sspId="e6c522bd-37f9-48fc-b38a-e0f2f62f7b06" ma:termSetId="104fb1ce-b0df-4041-8cef-22bfd9b6b1c3" ma:anchorId="00000000-0000-0000-0000-000000000000" ma:open="false" ma:isKeyword="false">
      <xsd:complexType>
        <xsd:sequence>
          <xsd:element ref="pc:Terms" minOccurs="0" maxOccurs="1"/>
        </xsd:sequence>
      </xsd:complexType>
    </xsd:element>
    <xsd:element name="d6d0bd4aebe44f048518c2b92e912dde" ma:index="20" nillable="true" ma:taxonomy="true" ma:internalName="d6d0bd4aebe44f048518c2b92e912dde" ma:taxonomyFieldName="Category_x0020_MM" ma:displayName="Category" ma:default="" ma:fieldId="{d6d0bd4a-ebe4-4f04-8518-c2b92e912dde}" ma:taxonomyMulti="true" ma:sspId="e6c522bd-37f9-48fc-b38a-e0f2f62f7b06" ma:termSetId="b191acd1-59e3-4155-b688-9996440df09b" ma:anchorId="00000000-0000-0000-0000-000000000000" ma:open="false" ma:isKeyword="false">
      <xsd:complexType>
        <xsd:sequence>
          <xsd:element ref="pc:Terms" minOccurs="0" maxOccurs="1"/>
        </xsd:sequence>
      </xsd:complexType>
    </xsd:element>
    <xsd:element name="nb56471b3b68479b862171af60c4d604" ma:index="22" nillable="true" ma:taxonomy="true" ma:internalName="nb56471b3b68479b862171af60c4d604" ma:taxonomyFieldName="Entity_x0020_Usage_x0020_MM" ma:displayName="Entity Usage" ma:indexed="true" ma:default="" ma:fieldId="{7b56471b-3b68-479b-8621-71af60c4d604}" ma:sspId="e6c522bd-37f9-48fc-b38a-e0f2f62f7b06" ma:termSetId="5a8fb8e3-8d9d-48ee-bcb0-e713dd809a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a9bad4-5b4d-4166-9db9-296c9c540192"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e6c522bd-37f9-48fc-b38a-e0f2f62f7b0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e1dd4550-eef6-48b1-8071-b85448258d46}" ma:internalName="TaxCatchAll" ma:showField="CatchAllData" ma:web="55a9bad4-5b4d-4166-9db9-296c9c540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18E9-C58F-41C1-A08D-27922FF00F0B}">
  <ds:schemaRefs>
    <ds:schemaRef ds:uri="http://schemas.microsoft.com/sharepoint/v3/contenttype/forms"/>
  </ds:schemaRefs>
</ds:datastoreItem>
</file>

<file path=customXml/itemProps2.xml><?xml version="1.0" encoding="utf-8"?>
<ds:datastoreItem xmlns:ds="http://schemas.openxmlformats.org/officeDocument/2006/customXml" ds:itemID="{F5DC99EF-43C0-4917-A309-8E61AB2BF4B7}">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55a9bad4-5b4d-4166-9db9-296c9c540192"/>
    <ds:schemaRef ds:uri="189d0439-5b38-42da-9e42-125d229fd3cc"/>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C87F3C3-9A7B-41FB-A7BA-BFE3C0932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9d0439-5b38-42da-9e42-125d229fd3cc"/>
    <ds:schemaRef ds:uri="55a9bad4-5b4d-4166-9db9-296c9c540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93D41-1EC3-4521-B0CE-ECD40D92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5297</Words>
  <Characters>34641</Characters>
  <Application>Microsoft Office Word</Application>
  <DocSecurity>0</DocSecurity>
  <Lines>288</Lines>
  <Paragraphs>79</Paragraphs>
  <ScaleCrop>false</ScaleCrop>
  <HeadingPairs>
    <vt:vector size="2" baseType="variant">
      <vt:variant>
        <vt:lpstr>Title</vt:lpstr>
      </vt:variant>
      <vt:variant>
        <vt:i4>1</vt:i4>
      </vt:variant>
    </vt:vector>
  </HeadingPairs>
  <TitlesOfParts>
    <vt:vector size="1" baseType="lpstr">
      <vt:lpstr/>
    </vt:vector>
  </TitlesOfParts>
  <Company>Robert Half International, Inc.</Company>
  <LinksUpToDate>false</LinksUpToDate>
  <CharactersWithSpaces>39859</CharactersWithSpaces>
  <SharedDoc>false</SharedDoc>
  <HLinks>
    <vt:vector size="6" baseType="variant">
      <vt:variant>
        <vt:i4>4390936</vt:i4>
      </vt:variant>
      <vt:variant>
        <vt:i4>0</vt:i4>
      </vt:variant>
      <vt:variant>
        <vt:i4>0</vt:i4>
      </vt:variant>
      <vt:variant>
        <vt:i4>5</vt:i4>
      </vt:variant>
      <vt:variant>
        <vt:lpwstr>http://aspe.hhs.gov/poverty/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laugem01</dc:creator>
  <cp:keywords/>
  <cp:lastModifiedBy>Andis, Amanda</cp:lastModifiedBy>
  <cp:revision>2</cp:revision>
  <cp:lastPrinted>2015-09-21T21:08:00Z</cp:lastPrinted>
  <dcterms:created xsi:type="dcterms:W3CDTF">2015-11-18T18:18:00Z</dcterms:created>
  <dcterms:modified xsi:type="dcterms:W3CDTF">2015-11-18T18:18:00Z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0x010100DEA6D965AE3A7943A908BBE27A15E3D2</vt:lpwstr>
  </property>
  <property fmtid="{D5CDD505-2E9C-101B-9397-08002B2CF9AE}" pid="3" name="Category MM">
    <vt:lpwstr/>
  </property>
  <property fmtid="{D5CDD505-2E9C-101B-9397-08002B2CF9AE}" pid="4" name="TaxKeyword">
    <vt:lpwstr/>
  </property>
  <property fmtid="{D5CDD505-2E9C-101B-9397-08002B2CF9AE}" pid="5" name="Entity Usage MM">
    <vt:lpwstr>22;#Texas Health Resources|9d01499c-6067-4e78-a120-8254271773aa</vt:lpwstr>
  </property>
  <property fmtid="{D5CDD505-2E9C-101B-9397-08002B2CF9AE}" pid="6" name="Languages">
    <vt:lpwstr>109;#Other|fbd1e978-427d-46c5-9db1-45e2afc67e79</vt:lpwstr>
  </property>
</Properties>
</file>