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98404" w14:textId="77777777" w:rsidR="00DB49D8" w:rsidRPr="00DB49D8" w:rsidRDefault="001C2B1C" w:rsidP="00DB49D8">
      <w:pPr>
        <w:pStyle w:val="Heading1"/>
      </w:pPr>
      <w:r w:rsidRPr="00DB49D8">
        <w:rPr>
          <w:lang w:val="vi-VN" w:bidi="vi-VN"/>
        </w:rPr>
        <w:t>Phạm vi:</w:t>
      </w:r>
    </w:p>
    <w:p w14:paraId="03B98405" w14:textId="77777777" w:rsidR="00DB49D8" w:rsidRPr="00DB49D8" w:rsidRDefault="001C2B1C" w:rsidP="00DB49D8">
      <w:pPr>
        <w:pStyle w:val="Heading2"/>
        <w:rPr>
          <w:rFonts w:cstheme="minorBidi"/>
          <w:szCs w:val="22"/>
        </w:rPr>
      </w:pPr>
      <w:r w:rsidRPr="00DB49D8">
        <w:rPr>
          <w:rStyle w:val="SubtleEmphasis"/>
          <w:lang w:val="vi-VN" w:bidi="vi-VN"/>
        </w:rPr>
        <w:t>Đối tượng Áp dụng</w:t>
      </w:r>
      <w:r w:rsidRPr="00DB49D8">
        <w:rPr>
          <w:rFonts w:cstheme="minorBidi"/>
          <w:szCs w:val="22"/>
          <w:lang w:val="vi-VN" w:bidi="vi-VN"/>
        </w:rPr>
        <w:t>: Chính sách này áp dụng cho khoản thuế được Texas Health kiểm soát hoàn toàn – trừ các bệnh viện, và các chi nhánh nhất định khác của Texas Health như được mô tả trong Tài liệu đính kèm C.</w:t>
      </w:r>
    </w:p>
    <w:p w14:paraId="03B98406" w14:textId="77777777" w:rsidR="005F1901" w:rsidRDefault="001C2B1C" w:rsidP="00DB49D8">
      <w:pPr>
        <w:pStyle w:val="Heading2"/>
      </w:pPr>
      <w:r w:rsidRPr="00AC46A6">
        <w:rPr>
          <w:rStyle w:val="SubtleEmphasis"/>
          <w:lang w:val="vi-VN" w:bidi="vi-VN"/>
        </w:rPr>
        <w:t>Phòng ban Áp dụng</w:t>
      </w:r>
      <w:r w:rsidRPr="005F1901">
        <w:rPr>
          <w:lang w:val="vi-VN" w:bidi="vi-VN"/>
        </w:rPr>
        <w:t>:</w:t>
      </w:r>
    </w:p>
    <w:p w14:paraId="03B98407" w14:textId="77777777" w:rsidR="004B089A" w:rsidRDefault="001C2B1C" w:rsidP="00031FAE">
      <w:pPr>
        <w:pStyle w:val="Heading3"/>
        <w:spacing w:before="0"/>
      </w:pPr>
      <w:r w:rsidRPr="00DB49D8">
        <w:rPr>
          <w:lang w:val="vi-VN" w:bidi="vi-VN"/>
        </w:rPr>
        <w:t>Chính sách này áp dụng cho tất cả các phòng ban của bệnh viện.</w:t>
      </w:r>
    </w:p>
    <w:p w14:paraId="03B98408" w14:textId="77777777" w:rsidR="00DB49D8" w:rsidRDefault="009517B8" w:rsidP="00031FAE">
      <w:pPr>
        <w:pStyle w:val="Heading3"/>
        <w:spacing w:before="0"/>
      </w:pPr>
      <w:r w:rsidRPr="005F1901">
        <w:rPr>
          <w:lang w:val="vi-VN" w:bidi="vi-VN"/>
        </w:rPr>
        <w:t>Chính sách này không áp dụng cho hóa đơn của bác sĩ, các phòng thí nghiệm bên ngoài hoặc của các nhà cung cấp khác. Xem tài liệu đính kèm C.</w:t>
      </w:r>
    </w:p>
    <w:p w14:paraId="03B98409" w14:textId="77777777" w:rsidR="004B089A" w:rsidRDefault="001C2B1C" w:rsidP="00DB49D8">
      <w:pPr>
        <w:pStyle w:val="Heading1"/>
      </w:pPr>
      <w:r w:rsidRPr="005F1901">
        <w:rPr>
          <w:lang w:val="vi-VN" w:bidi="vi-VN"/>
        </w:rPr>
        <w:t>Mục đích:</w:t>
      </w:r>
    </w:p>
    <w:p w14:paraId="03B9840A" w14:textId="77777777" w:rsidR="004B089A" w:rsidRPr="00031FAE" w:rsidRDefault="00CC7CBD" w:rsidP="00DB49D8">
      <w:pPr>
        <w:pStyle w:val="Heading2"/>
        <w:rPr>
          <w:lang w:val="vi-VN"/>
        </w:rPr>
      </w:pPr>
      <w:r w:rsidRPr="005F1901">
        <w:rPr>
          <w:lang w:val="vi-VN" w:bidi="vi-VN"/>
        </w:rPr>
        <w:t>Chính sách này thiết lập khuôn khổ mà theo đó Texas Health xác định bệnh nhân có thể hội đủ điều kiện để được hỗ trợ tài chính, cung cấp hỗ trợ tài chính, và tài khoản cho hỗ trợ tài chính. Chính sách này cũng được sử dụng để đáp ứng các yêu cầu quy định trong luật pháp tiểu bang và liên bang, bao gồm nhưng không giới hạn ở: Chương 311 trong Đạo luật Sức khỏe và An toàn và Phần 501(r) trong Đạo luật Doanh thu Nội bộ của tiểu bang Texas.</w:t>
      </w:r>
    </w:p>
    <w:p w14:paraId="03B9840B" w14:textId="77777777" w:rsidR="004B089A" w:rsidRDefault="001C2B1C" w:rsidP="00DB49D8">
      <w:pPr>
        <w:pStyle w:val="Heading1"/>
      </w:pPr>
      <w:r w:rsidRPr="005F1901">
        <w:rPr>
          <w:lang w:val="vi-VN" w:bidi="vi-VN"/>
        </w:rPr>
        <w:t>Chính sách:</w:t>
      </w:r>
    </w:p>
    <w:p w14:paraId="03B9840C" w14:textId="77777777" w:rsidR="001C2B1C" w:rsidRPr="00031FAE" w:rsidRDefault="004D7610" w:rsidP="00DB49D8">
      <w:pPr>
        <w:pStyle w:val="Heading2"/>
        <w:rPr>
          <w:lang w:val="vi-VN"/>
        </w:rPr>
      </w:pPr>
      <w:r w:rsidRPr="005F1901">
        <w:rPr>
          <w:lang w:val="vi-VN" w:bidi="vi-VN"/>
        </w:rPr>
        <w:t xml:space="preserve">Tất cả các bệnh nhân sẽ đủ điều kiện đăng ký nhận hỗ trợ tài chính bất cứ lúc nào trong thời gian chăm sóc liên tục hoặc chu kỳ thanh toán. Bệnh nhân có cơ hội đăng ký nhận hỗ trợ tài chính lên tới 365 ngày kể từ ngày được cung cấp dịch vụ. Tình hình của mỗi bệnh nhân sẽ được đánh giá theo hoàn cảnh có liên quan, chẳng hạn như thu nhập, tài sản hoặc các nguồn tài nguyên khác có sẵn cho bệnh nhân hoặc gia đình của bệnh nhân khi xác định khả năng chi trả số dư tài khoản mà bệnh nhân còn nợ. Chăm sóc </w:t>
      </w:r>
      <w:r w:rsidRPr="005F1901">
        <w:rPr>
          <w:lang w:val="vi-VN" w:bidi="vi-VN"/>
        </w:rPr>
        <w:lastRenderedPageBreak/>
        <w:t>khẩn cấp cần thiết về mặt y tế sẽ không được trì hoãn hoặc từ chối dựa trên khả năng chi trả của bệnh nhân. Thủ thuật thẩm mỹ hoặc thủ thuật không cần thiết về mặt y tế không được chính sách này bao trả. Chính sách Hỗ trợ Tài chính của Texas Health sẽ được quản lý theo Hướng dẫn về tình trạng hợp lệ phù hợp với luật pháp tiểu bang và liên bang về lập ngân sách, xác định và báo cáo hỗ trợ tài chính. Mục đích của Chính sách Hỗ trợ Tài chính của Texas Health là mang lại các lợi ích cộng đồng thông qua hỗ trợ tài chính theo các điều khoản ở Phần 311.043–045 Đạo Luật Sức Khỏe &amp; An Toàn và Phần 501(r) Đạo Luật Doanh Thu Nội Bộ của Texas Health.</w:t>
      </w:r>
    </w:p>
    <w:p w14:paraId="03B9840D" w14:textId="77777777" w:rsidR="004B089A" w:rsidRPr="00031FAE" w:rsidRDefault="000B27F6" w:rsidP="00DB49D8">
      <w:pPr>
        <w:pStyle w:val="Heading2"/>
        <w:rPr>
          <w:lang w:val="vi-VN"/>
        </w:rPr>
      </w:pPr>
      <w:r w:rsidRPr="005F1901">
        <w:rPr>
          <w:lang w:val="vi-VN" w:bidi="vi-VN"/>
        </w:rPr>
        <w:t>Thủ thuật được coi là không khẩn cấp hoặc cần thiết về mặt y tế, bao gồm nhưng không giới hạn ở phẫu thuật thẩm mỹ không được chính sách này bao trả.</w:t>
      </w:r>
    </w:p>
    <w:p w14:paraId="03B9840E" w14:textId="77777777" w:rsidR="004B089A" w:rsidRPr="00031FAE" w:rsidRDefault="001C2B1C" w:rsidP="00DB49D8">
      <w:pPr>
        <w:pStyle w:val="Heading1"/>
        <w:rPr>
          <w:lang w:val="vi-VN"/>
        </w:rPr>
      </w:pPr>
      <w:r w:rsidRPr="005F1901">
        <w:rPr>
          <w:lang w:val="vi-VN" w:bidi="vi-VN"/>
        </w:rPr>
        <w:t>Hướng dẫn về Chính sách:</w:t>
      </w:r>
    </w:p>
    <w:p w14:paraId="03B9840F" w14:textId="77777777" w:rsidR="00DB49D8" w:rsidRPr="00031FAE" w:rsidRDefault="001C2B1C" w:rsidP="00DB49D8">
      <w:pPr>
        <w:pStyle w:val="Heading2"/>
        <w:rPr>
          <w:lang w:val="vi-VN"/>
        </w:rPr>
      </w:pPr>
      <w:r w:rsidRPr="005F1901">
        <w:rPr>
          <w:lang w:val="vi-VN" w:bidi="vi-VN"/>
        </w:rPr>
        <w:t>Chính sách Hỗ trợ Tài chính của Texas Health có sẵn cho các cá nhân đủ điều kiện, những người không thể thanh toán hóa đơn bệnh viện. Texas Health tận tâm quản lý chính sách hỗ trợ tài chính của mình một cách công bằng, nhất quán và khách quan, tôn trọng phẩm giá của mỗi bệnh nhân được phục vụ. Chính sách Hỗ trợ Tài chính của Texas Health sẽ được quản lý theo cách thức cố gắng phân bổ nguồn hỗ trợ tài chính nhằm tối đa hóa lợi ích nhận được bởi các cộng đồng mà Texas Health phục vụ. Không có bệnh nhân nào sẽ bị từ chối hỗ trợ tài chính vì lý do chủng tộc, tôn giáo hoặc nguồn gốc quốc gia hay bất kỳ cơ sở nào khác bị cấm bởi pháp luật. Trong quá trình thực hiện chính sách hỗ trợ tài chính này vì lợi ích của các cộng đồng mà Texas Health phục vụ, Texas Health sẽ tuân thủ mọi luật pháp, quy tắc và quy định hiện hành của địa phương, tiểu bang và liên bang.</w:t>
      </w:r>
    </w:p>
    <w:p w14:paraId="03B98410" w14:textId="77777777" w:rsidR="004B089A" w:rsidRPr="00031FAE" w:rsidRDefault="001C2B1C" w:rsidP="00DB49D8">
      <w:pPr>
        <w:pStyle w:val="Heading2"/>
        <w:rPr>
          <w:lang w:val="vi-VN"/>
        </w:rPr>
      </w:pPr>
      <w:r w:rsidRPr="005F1901">
        <w:rPr>
          <w:lang w:val="vi-VN" w:bidi="vi-VN"/>
        </w:rPr>
        <w:t xml:space="preserve">Bệnh nhân có thu nhập gia đình bằng hoặc dưới 200% theo hướng dẫn mức nghèo liên bang áp dụng hoặc bệnh nhân có thu nhập gia đình trên 200% theo hướng dẫn mức nghèo liên bang áp dụng có hóa đơn y tế chưa thanh toán lớn có thể hội đủ điều kiện nhận hỗ trợ tài chính nếu bệnh nhân không đủ tiền trả phần phụ phí cho hóa đơn bệnh viện của họ. Những cá nhân hội đủ điều kiện nhận hỗ trợ tài chính sẽ không bị tính phí </w:t>
      </w:r>
      <w:r w:rsidRPr="005F1901">
        <w:rPr>
          <w:lang w:val="vi-VN" w:bidi="vi-VN"/>
        </w:rPr>
        <w:lastRenderedPageBreak/>
        <w:t>nhiều hơn Số tiền thường được lập hóa đơn (AGB) đối với những người có bảo hiểm cho dịch vụ chăm sóc tương tự.</w:t>
      </w:r>
    </w:p>
    <w:p w14:paraId="03B98411" w14:textId="77777777" w:rsidR="00DB49D8" w:rsidRPr="00031FAE" w:rsidRDefault="001C2B1C" w:rsidP="00DB49D8">
      <w:pPr>
        <w:pStyle w:val="Heading2"/>
        <w:rPr>
          <w:lang w:val="vi-VN"/>
        </w:rPr>
      </w:pPr>
      <w:r w:rsidRPr="005F1901">
        <w:rPr>
          <w:lang w:val="vi-VN" w:bidi="vi-VN"/>
        </w:rPr>
        <w:t>Bệnh nhân không thể thanh toán hóa đơn bệnh viện được khuyến khích đăng ký nhận hỗ trợ tài chính bằng cách hoàn tất Đơn Đăng Ký Nhận Hỗ trợ Tài chính. Nhân viên tiếp nhận bệnh nhân và nhân viên hoạt động xã hội, cố vấn tài chính và giáo sĩ cùng với nhân viên phòng kinh doanh của Texas Health đều đã quen thuộc với Chính sách Hỗ trợ Tài chính của Texas Health và có thể giải đáp các thắc mắc liên quan đến chính sách. Tất cả các đơn đăng ký sẽ được xem xét và quyết định xem toàn bộ hay một phần hóa đơn bệnh viện của bệnh nhân sẽ hội đủ điều kiện nhận hỗ trợ tài chính. Bệnh nhân có trách nhiệm tích cực tham gia quy trình sàng lọc hỗ trợ tài chính của bệnh viện. Điều này bao gồm cung cấp cho bệnh viện thông tin liên quan đến bảo hiểm phúc lợi y tế thực tế hoặc có thể có sẵn (bao gồm tình trạng hợp lệ Medicaid và bảo hiểm COBRA có sẵn.) Bệnh nhân có thể bị từ chối hỗ trợ tài chính nếu không kịp thời cung cấp các thông tin đã được yêu cầu. Trong một số trường hợp, Texas Health có thể xác định từ thông tin tài chính và các thông tin khác được cung cấp bởi nhà cung cấp độc lập bên thứ ba cho thấy một bệnh nhân hội đủ điều kiện nhận hỗ trợ tài chính ngay cả khi đơn đăng ký nhận hỗ trợ tài chính chưa được hoàn tất.</w:t>
      </w:r>
    </w:p>
    <w:p w14:paraId="03B98412" w14:textId="77777777" w:rsidR="00DB49D8" w:rsidRDefault="009167DA" w:rsidP="00031FAE">
      <w:pPr>
        <w:pStyle w:val="Heading3"/>
        <w:tabs>
          <w:tab w:val="clear" w:pos="3024"/>
        </w:tabs>
        <w:ind w:left="2610"/>
      </w:pPr>
      <w:r w:rsidRPr="005F1901">
        <w:rPr>
          <w:lang w:val="vi-VN" w:bidi="vi-VN"/>
        </w:rPr>
        <w:t>Đăng ký nhận Hỗ trợ</w:t>
      </w:r>
    </w:p>
    <w:p w14:paraId="03B98413" w14:textId="77777777" w:rsidR="001C30FA" w:rsidRPr="001C30FA" w:rsidRDefault="00911888" w:rsidP="00031FAE">
      <w:pPr>
        <w:pStyle w:val="ListParagraph"/>
        <w:tabs>
          <w:tab w:val="clear" w:pos="3744"/>
        </w:tabs>
        <w:ind w:left="3420"/>
      </w:pPr>
      <w:r w:rsidRPr="001C30FA">
        <w:rPr>
          <w:rStyle w:val="SubtleEmphasis"/>
          <w:lang w:val="vi-VN" w:bidi="vi-VN"/>
        </w:rPr>
        <w:t>Các cách để Lấy mẫu Đơn đăng ký nhận Hỗ trợ Tài chính</w:t>
      </w:r>
      <w:r w:rsidRPr="001C30FA">
        <w:rPr>
          <w:rStyle w:val="SubtleEmphasis"/>
          <w:lang w:val="vi-VN" w:bidi="vi-VN"/>
        </w:rPr>
        <w:br/>
      </w:r>
      <w:r w:rsidR="002A0A17" w:rsidRPr="001C30FA">
        <w:rPr>
          <w:lang w:val="vi-VN" w:bidi="vi-VN"/>
        </w:rPr>
        <w:t>Bệnh nhân hoặc bên chịu trách nhiệm có thể yêu cầu mẫu Đơn đăng ký nhận Hỗ trợ Tài chính:</w:t>
      </w:r>
    </w:p>
    <w:p w14:paraId="03B98414" w14:textId="77777777" w:rsidR="00497F97" w:rsidRPr="005F1901" w:rsidRDefault="00497F97" w:rsidP="00031FAE">
      <w:pPr>
        <w:pStyle w:val="ListParagraph2"/>
        <w:tabs>
          <w:tab w:val="clear" w:pos="4464"/>
        </w:tabs>
        <w:ind w:left="4140"/>
      </w:pPr>
      <w:r w:rsidRPr="005F1901">
        <w:rPr>
          <w:lang w:val="vi-VN" w:bidi="vi-VN"/>
        </w:rPr>
        <w:t>Trực tiếp (Phòng tiếp nhận Bệnh nhân tại tất cả các địa điểm của bệnh viện)</w:t>
      </w:r>
    </w:p>
    <w:p w14:paraId="03B98415" w14:textId="6281FBE0" w:rsidR="00497F97" w:rsidRPr="005F1901" w:rsidRDefault="00497F97" w:rsidP="00031FAE">
      <w:pPr>
        <w:pStyle w:val="ListParagraph2"/>
        <w:ind w:left="4140"/>
      </w:pPr>
      <w:r w:rsidRPr="005F1901">
        <w:rPr>
          <w:lang w:val="vi-VN" w:bidi="vi-VN"/>
        </w:rPr>
        <w:t xml:space="preserve">Qua điện thoại theo số </w:t>
      </w:r>
      <w:r w:rsidR="00F73B24" w:rsidRPr="00F73B24">
        <w:rPr>
          <w:lang w:val="vi-VN" w:bidi="vi-VN"/>
        </w:rPr>
        <w:t>1.800.</w:t>
      </w:r>
      <w:r w:rsidR="00F73B24" w:rsidRPr="00F73B24">
        <w:rPr>
          <w:lang w:bidi="vi-VN"/>
        </w:rPr>
        <w:t>715.7210</w:t>
      </w:r>
    </w:p>
    <w:p w14:paraId="03B98416" w14:textId="77777777" w:rsidR="004B089A" w:rsidRDefault="00497F97" w:rsidP="00031FAE">
      <w:pPr>
        <w:pStyle w:val="ListParagraph2"/>
        <w:ind w:left="4140"/>
      </w:pPr>
      <w:r w:rsidRPr="005F1901">
        <w:rPr>
          <w:lang w:val="vi-VN" w:bidi="vi-VN"/>
        </w:rPr>
        <w:t>Qua thư theo địa chỉ 500 E. Border St. Arlington, TX 76010</w:t>
      </w:r>
    </w:p>
    <w:p w14:paraId="03B98417" w14:textId="77777777" w:rsidR="00497F97" w:rsidRPr="005F1901" w:rsidRDefault="00497F97" w:rsidP="00031FAE">
      <w:pPr>
        <w:pStyle w:val="ListParagraph2"/>
        <w:ind w:left="4140"/>
      </w:pPr>
      <w:r w:rsidRPr="005F1901">
        <w:rPr>
          <w:lang w:val="vi-VN" w:bidi="vi-VN"/>
        </w:rPr>
        <w:t>Ghé thăm Phòng Kinh doanh (500 E. Border St., Arlington, Texas 76010)</w:t>
      </w:r>
    </w:p>
    <w:p w14:paraId="03B98418" w14:textId="1A05F2F0" w:rsidR="004B089A" w:rsidRDefault="00497F97" w:rsidP="00031FAE">
      <w:pPr>
        <w:pStyle w:val="ListParagraph2"/>
        <w:ind w:left="4140"/>
      </w:pPr>
      <w:r w:rsidRPr="005F1901">
        <w:rPr>
          <w:lang w:val="vi-VN" w:bidi="vi-VN"/>
        </w:rPr>
        <w:t>Bằng cách gửi email tới địa chỉ Customerservice@TexasHealth</w:t>
      </w:r>
      <w:r w:rsidR="00F73B24">
        <w:rPr>
          <w:lang w:bidi="vi-VN"/>
        </w:rPr>
        <w:t>Partners.com</w:t>
      </w:r>
      <w:bookmarkStart w:id="0" w:name="_GoBack"/>
      <w:bookmarkEnd w:id="0"/>
    </w:p>
    <w:p w14:paraId="03B98419" w14:textId="77777777" w:rsidR="00DB49D8" w:rsidRPr="00031FAE" w:rsidRDefault="001C2B1C" w:rsidP="00031FAE">
      <w:pPr>
        <w:pStyle w:val="ListParagraph"/>
        <w:tabs>
          <w:tab w:val="clear" w:pos="3744"/>
        </w:tabs>
        <w:ind w:left="3420"/>
        <w:rPr>
          <w:lang w:val="vi-VN"/>
        </w:rPr>
      </w:pPr>
      <w:r w:rsidRPr="001C30FA">
        <w:rPr>
          <w:rStyle w:val="SubtleEmphasis"/>
          <w:lang w:val="vi-VN" w:bidi="vi-VN"/>
        </w:rPr>
        <w:t>Yêu cầu Thông tin liên lạc</w:t>
      </w:r>
      <w:r w:rsidRPr="005F1901">
        <w:rPr>
          <w:lang w:val="vi-VN" w:bidi="vi-VN"/>
        </w:rPr>
        <w:t xml:space="preserve"> – Bất cứ người nào tìm kiếm các dịch vụ chăm sóc sức khỏe tại một bệnh viện của Texas Health nên được cung cấp tài </w:t>
      </w:r>
      <w:r w:rsidRPr="005F1901">
        <w:rPr>
          <w:lang w:val="vi-VN" w:bidi="vi-VN"/>
        </w:rPr>
        <w:lastRenderedPageBreak/>
        <w:t>liệu thông tin về Chính sách Hỗ trợ Tài chính của Texas Health như là một phần của quy trình nhập viện. Bệnh viện sẽ tiến hành các nỗ lực hợp lý để thông báo bằng miệng cho bệnh nhân về chính sách hỗ trợ tài chính và cách thức nhận hỗ trợ với quy trình đăng ký tại các điểm khác nhau trước, trong và sau khi bệnh nhân nhận được dịch vụ. Văn bản thông báo cũng sẽ được dán rõ ràng bằng cả tiếng Anh và tiếng Tây Ban Nha tại khu vực chờ chung của bệnh viện, phòng cấp cứu và các địa điểm khác mà bệnh viện xét thấy là có thể thông báo cho bệnh nhân về sự tồn tại của Chính sách Hỗ trợ Tài chính của Texas Health. Ngoài ra, thông tin mô tả Chính sách Hỗ trợ Tài chính của Texas Health sẽ được đăng trên website của Texas Health. Hướng dẫn về cách đăng ký nhận hỗ trợ có thể được tìm thấy ở mặt sau của mỗi hóa đơn tín dụng THR. Bệnh nhân có 130 ngày để đăng ký nhận hỗ trợ tài chính trước khi nhà cung cấp dịch vụ thu nợ tiến hành bất cứ hình thức báo cáo tín dụng tiêu cực nào.</w:t>
      </w:r>
    </w:p>
    <w:p w14:paraId="03B9841A" w14:textId="77777777" w:rsidR="00DB49D8" w:rsidRPr="00031FAE" w:rsidRDefault="001C2B1C" w:rsidP="00031FAE">
      <w:pPr>
        <w:pStyle w:val="ListParagraph"/>
        <w:tabs>
          <w:tab w:val="clear" w:pos="3744"/>
        </w:tabs>
        <w:ind w:left="3420"/>
        <w:rPr>
          <w:lang w:val="vi-VN"/>
        </w:rPr>
      </w:pPr>
      <w:r w:rsidRPr="001C30FA">
        <w:rPr>
          <w:rStyle w:val="SubtleEmphasis"/>
          <w:lang w:val="vi-VN" w:bidi="vi-VN"/>
        </w:rPr>
        <w:t>Tư vấn Bệnh nhân</w:t>
      </w:r>
      <w:r w:rsidRPr="005F1901">
        <w:rPr>
          <w:lang w:val="vi-VN" w:bidi="vi-VN"/>
        </w:rPr>
        <w:t xml:space="preserve"> – Nhân viên Tiếp nhận bệnh nhân, nhân viên Phòng Kinh doanh, nhân viên Hoạt động Xã hội, cố vấn tài chính và/hoặc giáo sĩ bệnh viện nên khuyến khích các bệnh nhân có rủi ro tài chính do số tiền mà họ dự kiến nợ “phụ phí” hoàn tất Đơn đăng ký nhận Hỗ trợ Tài chính. Để tạo điều kiện thuận lợi cho quá trình này, nên tiến hành quy trình sàng lọc tài chính và hoàn tất Đơn đăng ký nhận Hỗ trợ Tài chính trước khi bệnh nhân xuất viện. Trong bất cứ trường hợp nào, quy trình sàng lọc tình trạng hợp lệ để nhận hỗ trợ tài chính cũng sẽ không diễn ra trước khi cung cấp dịch vụ chăm sóc khẩn cấp cần thiết về mặt y tế theo các yêu cầu của Đạo luật Điều trị Y tế Khẩn cấp và Lao động Hoạt động.</w:t>
      </w:r>
    </w:p>
    <w:p w14:paraId="03B9841B" w14:textId="77777777" w:rsidR="00DB49D8" w:rsidRPr="00031FAE" w:rsidRDefault="001C30FA" w:rsidP="00031FAE">
      <w:pPr>
        <w:pStyle w:val="ListParagraph"/>
        <w:tabs>
          <w:tab w:val="clear" w:pos="3744"/>
        </w:tabs>
        <w:ind w:left="3420"/>
        <w:rPr>
          <w:lang w:val="vi-VN"/>
        </w:rPr>
      </w:pPr>
      <w:r>
        <w:rPr>
          <w:rStyle w:val="SubtleEmphasis"/>
          <w:lang w:val="vi-VN" w:bidi="vi-VN"/>
        </w:rPr>
        <w:t>Hỗ trợ Tài chính – Yêu cầu đề nghị bởi Bệnh nhân/Bên chịu trách nhiệm</w:t>
      </w:r>
      <w:r w:rsidR="001C2B1C" w:rsidRPr="005F1901">
        <w:rPr>
          <w:lang w:val="vi-VN" w:bidi="vi-VN"/>
        </w:rPr>
        <w:t xml:space="preserve"> – Đơn đăng ký nhận Hỗ trợ Tài chính phải được cung cấp cho bất cứ người nào yêu cầu hỗ trợ tài chính. Hỗ trợ tài chính chỉ có thể được cấp nếu có đủ thông tin cho phép xác định rằng bệnh nhân đáp ứng các nguyên tắc về tình trạng hợp lệ nêu rõ trong Tài liệu đính kèm A của chính sách này. Texas Health có thể sử dụng thông tin được báo cáo trong đơn đăng ký nhận hỗ trợ tài chính và thông tin thu thập từ các nguồn tin độc lập của bên </w:t>
      </w:r>
      <w:r w:rsidR="001C2B1C" w:rsidRPr="005F1901">
        <w:rPr>
          <w:lang w:val="vi-VN" w:bidi="vi-VN"/>
        </w:rPr>
        <w:lastRenderedPageBreak/>
        <w:t>thứ ba để đánh giá bệnh nhân có đủ điều kiện nhận hỗ trợ tài chính hay không.</w:t>
      </w:r>
    </w:p>
    <w:p w14:paraId="03B9841C" w14:textId="77777777" w:rsidR="00DB49D8" w:rsidRPr="00031FAE" w:rsidRDefault="001C2B1C" w:rsidP="00031FAE">
      <w:pPr>
        <w:pStyle w:val="ListParagraph"/>
        <w:tabs>
          <w:tab w:val="clear" w:pos="3744"/>
        </w:tabs>
        <w:ind w:left="3420"/>
        <w:rPr>
          <w:lang w:val="vi-VN"/>
        </w:rPr>
      </w:pPr>
      <w:r w:rsidRPr="00AC46A6">
        <w:rPr>
          <w:rStyle w:val="SubtleEmphasis"/>
          <w:lang w:val="vi-VN" w:bidi="vi-VN"/>
        </w:rPr>
        <w:t>Yêu cầu đề nghị Thay mặt Bệnh nhân</w:t>
      </w:r>
      <w:r w:rsidRPr="005F1901">
        <w:rPr>
          <w:lang w:val="vi-VN" w:bidi="vi-VN"/>
        </w:rPr>
        <w:t xml:space="preserve"> – Yêu cầu hỗ trợ tài chính có thể được gửi bởi nhân viên của Texas Health và/hoặc đại lý liên quan (thay mặt cho bệnh nhân hoặc bên chịu trách nhiệm) - những người biết rõ tình hình tài chính của bệnh nhân. Tất cả các sự việc đã biết xung quanh tình hình tài chính của bệnh nhân phải được lập thành tài liệu khi yêu cầu được đề nghị bởi nhân viên của Texas Health.</w:t>
      </w:r>
    </w:p>
    <w:p w14:paraId="03B9841D" w14:textId="77777777" w:rsidR="004B089A" w:rsidRPr="00031FAE" w:rsidRDefault="00767E5E" w:rsidP="00031FAE">
      <w:pPr>
        <w:pStyle w:val="ListParagraph"/>
        <w:tabs>
          <w:tab w:val="clear" w:pos="3744"/>
        </w:tabs>
        <w:ind w:left="3420"/>
        <w:rPr>
          <w:lang w:val="vi-VN"/>
        </w:rPr>
      </w:pPr>
      <w:r w:rsidRPr="00AC46A6">
        <w:rPr>
          <w:rStyle w:val="SubtleEmphasis"/>
          <w:lang w:val="vi-VN" w:bidi="vi-VN"/>
        </w:rPr>
        <w:t>Yêu cầu đề nghị bởi Bên thứ ba</w:t>
      </w:r>
      <w:r w:rsidRPr="005F1901">
        <w:rPr>
          <w:lang w:val="vi-VN" w:bidi="vi-VN"/>
        </w:rPr>
        <w:t xml:space="preserve"> – Texas Health có thể xác định bệnh nhân hội đủ điều kiện nhận hỗ trợ tài chính theo chính sách thông qua việc xem xét và phân tích thông tin tài chính và các thông tin khác được cung cấp bởi nhà cung cấp độc lập bên thứ ba. Trong các tình huống này, Đơn đăng ký nhận Hỗ trợ Tài chính chính thức là không cần thiết.</w:t>
      </w:r>
    </w:p>
    <w:p w14:paraId="03B9841E" w14:textId="77777777" w:rsidR="00DB49D8" w:rsidRPr="00031FAE" w:rsidRDefault="001C2B1C" w:rsidP="00031FAE">
      <w:pPr>
        <w:pStyle w:val="ListParagraph"/>
        <w:tabs>
          <w:tab w:val="clear" w:pos="3744"/>
        </w:tabs>
        <w:ind w:left="3420"/>
        <w:rPr>
          <w:lang w:val="vi-VN"/>
        </w:rPr>
      </w:pPr>
      <w:r w:rsidRPr="00AC46A6">
        <w:rPr>
          <w:rStyle w:val="SubtleEmphasis"/>
          <w:lang w:val="vi-VN" w:bidi="vi-VN"/>
        </w:rPr>
        <w:t>Theo dõi Nỗ lực Thu nợ</w:t>
      </w:r>
      <w:r w:rsidRPr="005F1901">
        <w:rPr>
          <w:lang w:val="vi-VN" w:bidi="vi-VN"/>
        </w:rPr>
        <w:t xml:space="preserve"> – Nói chung, không có nỗ lực tiếp theo nào sẽ được thực hiện để thu phí từ bệnh nhân hoặc bên chịu trách nhiệm đã được chấp thuận miễn trừ 100% theo Chính sách Hỗ trợ Tài chính của Texas Health (tùy thuộc vào quyền thay mặt đòi bồi thường) ngoại trừ tới một mức độ mà bệnh nhân hoặc bên chịu trách nhiệm đó nhận được bồi thường từ bất kỳ bên thứ ba hoặc nguồn nào khác. Chấp thuận điều chỉnh tài chính sẽ không được hiểu là Texas Health từ bỏ khả năng thực thi quyền lưu giữ tài sản của bệnh viện để bồi hoàn bất cứ số tiền nào còn nợ bởi đối tượng chịu trách nhiệm pháp lý bên thứ ba thay mặt cho bệnh nhân. Các khoản khấu trừ tài chính có thể bị đảo ngược toàn bộ hoặc một phần trong trường hợp nhận bồi thường từ bên thứ ba hoặc nguồn khác.</w:t>
      </w:r>
    </w:p>
    <w:p w14:paraId="03B9841F" w14:textId="77777777" w:rsidR="00DB49D8" w:rsidRPr="00031FAE" w:rsidRDefault="001C2B1C" w:rsidP="00031FAE">
      <w:pPr>
        <w:pStyle w:val="ListParagraph"/>
        <w:tabs>
          <w:tab w:val="clear" w:pos="3744"/>
        </w:tabs>
        <w:ind w:left="3420"/>
        <w:rPr>
          <w:rStyle w:val="SubtleEmphasis"/>
          <w:lang w:val="vi-VN"/>
        </w:rPr>
      </w:pPr>
      <w:r w:rsidRPr="00AC46A6">
        <w:rPr>
          <w:rStyle w:val="SubtleEmphasis"/>
          <w:lang w:val="vi-VN" w:bidi="vi-VN"/>
        </w:rPr>
        <w:t>Các hoạt động thu nợ sau đây sẽ diễn ra trong 120 ngày đầu mà hóa đơn y tế chưa được thanh toán để bao gồm:</w:t>
      </w:r>
    </w:p>
    <w:p w14:paraId="03B98420" w14:textId="77777777" w:rsidR="00DB49D8" w:rsidRPr="00031FAE" w:rsidRDefault="001C2B1C" w:rsidP="00031FAE">
      <w:pPr>
        <w:pStyle w:val="ListParagraph2"/>
        <w:tabs>
          <w:tab w:val="clear" w:pos="4464"/>
        </w:tabs>
        <w:ind w:left="4140"/>
        <w:rPr>
          <w:i/>
          <w:iCs/>
          <w:lang w:val="vi-VN"/>
        </w:rPr>
      </w:pPr>
      <w:r w:rsidRPr="005F1901">
        <w:rPr>
          <w:lang w:val="vi-VN" w:bidi="vi-VN"/>
        </w:rPr>
        <w:t xml:space="preserve">Hóa đơn tín dụng tóm tắt sẽ được gửi cho bệnh nhân </w:t>
      </w:r>
      <w:r w:rsidRPr="005F1901">
        <w:rPr>
          <w:i/>
          <w:lang w:val="vi-VN" w:bidi="vi-VN"/>
        </w:rPr>
        <w:t>(Xác định: Tổng Chi phí, Thanh toán Bảo hiểm, Khấu trừ, Thanh toán Bệnh nhân và số dư hiện tại.)</w:t>
      </w:r>
    </w:p>
    <w:p w14:paraId="03B98421" w14:textId="77777777" w:rsidR="00DB49D8" w:rsidRPr="00031FAE" w:rsidRDefault="001C2B1C" w:rsidP="00031FAE">
      <w:pPr>
        <w:pStyle w:val="ListParagraph2"/>
        <w:tabs>
          <w:tab w:val="clear" w:pos="4464"/>
        </w:tabs>
        <w:ind w:left="4140"/>
        <w:rPr>
          <w:lang w:val="vi-VN"/>
        </w:rPr>
      </w:pPr>
      <w:r w:rsidRPr="005F1901">
        <w:rPr>
          <w:lang w:val="vi-VN" w:bidi="vi-VN"/>
        </w:rPr>
        <w:t>Bệnh nhân sẽ được liên hệ qua điện thoại bằng một hệ thống quay số ra bên ngoài.</w:t>
      </w:r>
    </w:p>
    <w:p w14:paraId="03B98422" w14:textId="77777777" w:rsidR="00DB49D8" w:rsidRPr="00031FAE" w:rsidRDefault="001C2B1C" w:rsidP="00031FAE">
      <w:pPr>
        <w:pStyle w:val="ListParagraph2"/>
        <w:tabs>
          <w:tab w:val="clear" w:pos="4464"/>
        </w:tabs>
        <w:ind w:left="4140"/>
        <w:rPr>
          <w:lang w:val="vi-VN"/>
        </w:rPr>
      </w:pPr>
      <w:r w:rsidRPr="005F1901">
        <w:rPr>
          <w:lang w:val="vi-VN" w:bidi="vi-VN"/>
        </w:rPr>
        <w:t>Thư đòi nợ sẽ được gửi cho bệnh nhân bởi các cơ quan ký hợp đồng với Texas Health. (Báo cáo tín dụng sẽ không được tiến hành trong 120 ngày đầu kể từ ngày xuất viện)</w:t>
      </w:r>
    </w:p>
    <w:p w14:paraId="03B98423" w14:textId="77777777" w:rsidR="00DB49D8" w:rsidRPr="00031FAE" w:rsidRDefault="001C2B1C" w:rsidP="00031FAE">
      <w:pPr>
        <w:pStyle w:val="ListParagraph"/>
        <w:tabs>
          <w:tab w:val="clear" w:pos="3744"/>
        </w:tabs>
        <w:ind w:left="3420"/>
        <w:rPr>
          <w:rStyle w:val="SubtleEmphasis"/>
          <w:lang w:val="vi-VN"/>
        </w:rPr>
      </w:pPr>
      <w:r w:rsidRPr="00AC46A6">
        <w:rPr>
          <w:rStyle w:val="SubtleEmphasis"/>
          <w:lang w:val="vi-VN" w:bidi="vi-VN"/>
        </w:rPr>
        <w:t>Những biện pháp có thể được thực hiện để nhận được thanh toán sau khi hóa đơn y tế chưa được chi trả trong ít nhất 120 ngày bao gồm:</w:t>
      </w:r>
    </w:p>
    <w:p w14:paraId="03B98424" w14:textId="77777777" w:rsidR="004B089A" w:rsidRPr="00031FAE" w:rsidRDefault="001C2B1C" w:rsidP="00031FAE">
      <w:pPr>
        <w:pStyle w:val="ListParagraph2"/>
        <w:tabs>
          <w:tab w:val="clear" w:pos="4464"/>
        </w:tabs>
        <w:ind w:left="4140"/>
        <w:rPr>
          <w:lang w:val="vi-VN"/>
        </w:rPr>
      </w:pPr>
      <w:r w:rsidRPr="005F1901">
        <w:rPr>
          <w:lang w:val="vi-VN" w:bidi="vi-VN"/>
        </w:rPr>
        <w:t>Chuyển tài khoản của bệnh nhân cho một cơ quan thu nợ bên ngoài. Cơ quan thu nợ sẽ cố gắng để có được phản hồi từ phía bệnh nhân hoặc bên chịu trách nhiệm thông qua thư từ và điện thoại trong ít nhất 30 ngày sau khi nhận được tài khoản.</w:t>
      </w:r>
    </w:p>
    <w:p w14:paraId="03B98425" w14:textId="77777777" w:rsidR="004B089A" w:rsidRPr="00031FAE" w:rsidRDefault="001C2B1C" w:rsidP="00031FAE">
      <w:pPr>
        <w:pStyle w:val="ListParagraph2"/>
        <w:tabs>
          <w:tab w:val="clear" w:pos="4464"/>
        </w:tabs>
        <w:ind w:left="4140"/>
        <w:rPr>
          <w:lang w:val="vi-VN"/>
        </w:rPr>
      </w:pPr>
      <w:r w:rsidRPr="005F1901">
        <w:rPr>
          <w:lang w:val="vi-VN" w:bidi="vi-VN"/>
        </w:rPr>
        <w:t>Ghi nhận xét về nợ quá hạn vào báo cáo tín dụng của bệnh nhân không sớm hơn 30 ngày sau khi nhận được tài khoản.</w:t>
      </w:r>
    </w:p>
    <w:p w14:paraId="03B98426" w14:textId="77777777" w:rsidR="00DB49D8" w:rsidRPr="00031FAE" w:rsidRDefault="001C2B1C" w:rsidP="00031FAE">
      <w:pPr>
        <w:pStyle w:val="Heading3"/>
        <w:tabs>
          <w:tab w:val="clear" w:pos="3024"/>
        </w:tabs>
        <w:ind w:left="2700"/>
        <w:rPr>
          <w:rStyle w:val="SubtleEmphasis"/>
          <w:lang w:val="vi-VN"/>
        </w:rPr>
      </w:pPr>
      <w:r w:rsidRPr="00AC46A6">
        <w:rPr>
          <w:rStyle w:val="SubtleEmphasis"/>
          <w:lang w:val="vi-VN" w:bidi="vi-VN"/>
        </w:rPr>
        <w:t>Phê duyệt và Báo cáo:</w:t>
      </w:r>
    </w:p>
    <w:p w14:paraId="03B98427" w14:textId="77777777" w:rsidR="004B089A" w:rsidRPr="00031FAE" w:rsidRDefault="001C2B1C" w:rsidP="00031FAE">
      <w:pPr>
        <w:pStyle w:val="ListParagraph"/>
        <w:tabs>
          <w:tab w:val="clear" w:pos="3744"/>
        </w:tabs>
        <w:spacing w:before="240"/>
        <w:ind w:left="3420"/>
        <w:rPr>
          <w:lang w:val="vi-VN"/>
        </w:rPr>
      </w:pPr>
      <w:r w:rsidRPr="00AC46A6">
        <w:rPr>
          <w:rStyle w:val="SubtleEmphasis"/>
          <w:lang w:val="vi-VN" w:bidi="vi-VN"/>
        </w:rPr>
        <w:t>Quản lý</w:t>
      </w:r>
      <w:r w:rsidRPr="005F1901">
        <w:rPr>
          <w:lang w:val="vi-VN" w:bidi="vi-VN"/>
        </w:rPr>
        <w:t xml:space="preserve"> – Phó Giám đốc Tài chính Cấp cao của Texas Health hoặc nhân viên tài chính của bệnh viện phụ trách mỗi địa điểm chịu trách nhiệm giám sát Chính sách Hỗ trợ Tài chính của Texas Health. Phó Giám đốc phụ trách Hoạt động Chu kỳ Doanh thu của Texas Health chịu trách nhiệm quản lý hàng ngày Chính sách Hỗ trợ Tài chính của Texas Health.</w:t>
      </w:r>
    </w:p>
    <w:p w14:paraId="03B98428" w14:textId="77777777" w:rsidR="00DB49D8" w:rsidRPr="00031FAE" w:rsidRDefault="001C2B1C" w:rsidP="00031FAE">
      <w:pPr>
        <w:pStyle w:val="ListParagraph"/>
        <w:tabs>
          <w:tab w:val="clear" w:pos="3744"/>
        </w:tabs>
        <w:spacing w:before="240"/>
        <w:ind w:left="3420"/>
        <w:rPr>
          <w:lang w:val="vi-VN"/>
        </w:rPr>
      </w:pPr>
      <w:r w:rsidRPr="00AC46A6">
        <w:rPr>
          <w:rStyle w:val="SubtleEmphasis"/>
          <w:lang w:val="vi-VN" w:bidi="vi-VN"/>
        </w:rPr>
        <w:t>Xác minh Thông tin</w:t>
      </w:r>
      <w:r w:rsidRPr="005F1901">
        <w:rPr>
          <w:lang w:val="vi-VN" w:bidi="vi-VN"/>
        </w:rPr>
        <w:t xml:space="preserve"> – Phó Giám đốc phụ trách Hoạt động Chu kỳ Doanh thu của Texas Health phải thiết lập các quy trình chỉ rõ thông tin đăng ký nào cần phải xác minh. Trong bất cứ trường hợp nào, việc thiết lập quy trình xác minh cũng không được phân biệt đối xử với bất kỳ nhóm bệnh nhân nào và cũng không giới hạn quá mức quyền tiếp cận dịch vụ hỗ trợ tài chính của bệnh nhân.</w:t>
      </w:r>
    </w:p>
    <w:p w14:paraId="03B98429" w14:textId="77777777" w:rsidR="004B089A" w:rsidRPr="00031FAE" w:rsidRDefault="001C2B1C" w:rsidP="00031FAE">
      <w:pPr>
        <w:pStyle w:val="ListParagraph"/>
        <w:tabs>
          <w:tab w:val="clear" w:pos="3744"/>
        </w:tabs>
        <w:spacing w:before="240"/>
        <w:ind w:left="3420"/>
        <w:rPr>
          <w:lang w:val="vi-VN"/>
        </w:rPr>
      </w:pPr>
      <w:r w:rsidRPr="00AC46A6">
        <w:rPr>
          <w:rStyle w:val="SubtleEmphasis"/>
          <w:lang w:val="vi-VN" w:bidi="vi-VN"/>
        </w:rPr>
        <w:t>Phê duyệt Hướng dẫn – Các Dịch vụ Đã Thực hiện</w:t>
      </w:r>
      <w:r w:rsidRPr="005F1901">
        <w:rPr>
          <w:lang w:val="vi-VN" w:bidi="vi-VN"/>
        </w:rPr>
        <w:t xml:space="preserve"> – Nhân viên phòng kinh doanh của Texas Health phải xem xét mọi thông tin sẵn có và xác định mức độ hỗ trợ tài chính phù hợp theo các quy trình đã được thiết lập bởi Phó Giám đốc phụ trách Hoạt động Chu kỳ Doanh thu của Texas Health. Phê duyệt cuối cùng về việc miễn trừ tài chính sẽ là trách nhiệm của Phó Giám đốc phụ trách Hoạt động Chu kỳ Doanh thu. Phê duyệt được giao quyền cho nhiều cấp quản lý khác nhau tương ứng với quy mô dư nợ bệnh nhân hiện tại và theo Ma trận Phê duyệt, Ủy quyền và Trách nhiệm của THR.</w:t>
      </w:r>
    </w:p>
    <w:p w14:paraId="03B9842A" w14:textId="77777777" w:rsidR="00DB49D8" w:rsidRPr="00031FAE" w:rsidRDefault="001C2B1C" w:rsidP="00031FAE">
      <w:pPr>
        <w:pStyle w:val="ListParagraph"/>
        <w:tabs>
          <w:tab w:val="clear" w:pos="3744"/>
        </w:tabs>
        <w:spacing w:before="240"/>
        <w:ind w:left="3420"/>
        <w:rPr>
          <w:lang w:val="vi-VN"/>
        </w:rPr>
      </w:pPr>
      <w:r w:rsidRPr="00AC46A6">
        <w:rPr>
          <w:rStyle w:val="SubtleEmphasis"/>
          <w:lang w:val="vi-VN" w:bidi="vi-VN"/>
        </w:rPr>
        <w:t xml:space="preserve">Phê duyệt – Trước khi Cung cấp Dịch vụ </w:t>
      </w:r>
      <w:r w:rsidR="00AC46A6" w:rsidRPr="00AC46A6">
        <w:rPr>
          <w:lang w:val="vi-VN" w:bidi="vi-VN"/>
        </w:rPr>
        <w:t>– Mỗi bệnh viện của Texas Health được liệt kê trong Tài liệu đính kèm C phải tiến hành quy trình xem xét nhằm xác định tình trạng hợp lệ để nhận hỗ trợ tài chính. Đôi khi, bệnh nhân hoặc bác sĩ có thể cố gắng xác định tình trạng hợp lệ trước khi các dịch vụ của bệnh viện được cung cấp. Trong những trường hợp này, Giám đốc bệnh viện hoặc nhân viên tài chính phải phê duyệt yêu cầu. Khi cấp hỗ trợ tài chính cho từng bệnh nhân trong tình huống không khẩn cấp, lãnh đạo bệnh viện phải xem xét tính sẵn có của các nguồn lực cộng đồng thay thế, tính liên tục của mối quan tâm chăm sóc và tác động tài chính tiềm ẩn đối với khả năng cấp hỗ trợ tài chính rộng rãi cho cộng đồng mà bệnh viện phục vụ. Bất kể là việc hỗ trợ tài chính có được phê duyệt hay không, các bệnh nhân cũng sẽ nhận được dịch vụ chăm sóc khẩn cấp cần thiết về mặt y tế mà không bị trì hoãn.</w:t>
      </w:r>
    </w:p>
    <w:p w14:paraId="03B9842B" w14:textId="77777777" w:rsidR="004B089A" w:rsidRPr="00031FAE" w:rsidRDefault="001C2B1C" w:rsidP="00031FAE">
      <w:pPr>
        <w:pStyle w:val="ListParagraph"/>
        <w:keepNext/>
        <w:tabs>
          <w:tab w:val="clear" w:pos="3744"/>
        </w:tabs>
        <w:spacing w:before="240"/>
        <w:ind w:left="3420"/>
        <w:rPr>
          <w:lang w:val="vi-VN"/>
        </w:rPr>
      </w:pPr>
      <w:r w:rsidRPr="00AC46A6">
        <w:rPr>
          <w:rStyle w:val="SubtleEmphasis"/>
          <w:lang w:val="vi-VN" w:bidi="vi-VN"/>
        </w:rPr>
        <w:t>Thông báo cho Người nộp đơn</w:t>
      </w:r>
      <w:r w:rsidRPr="005F1901">
        <w:rPr>
          <w:lang w:val="vi-VN" w:bidi="vi-VN"/>
        </w:rPr>
        <w:t xml:space="preserve"> – Nói chung, tất cả những bệnh nhân nộp đơn đăng ký nhận hỗ trợ tài chính đều sẽ được thông báo trong khoảng thời gian hợp lý về tình trạng yêu cầu của họ.</w:t>
      </w:r>
    </w:p>
    <w:p w14:paraId="03B9842C" w14:textId="77777777" w:rsidR="00DB49D8" w:rsidRPr="00031FAE" w:rsidRDefault="001C2B1C" w:rsidP="00031FAE">
      <w:pPr>
        <w:pStyle w:val="ListParagraph2"/>
        <w:tabs>
          <w:tab w:val="clear" w:pos="4464"/>
        </w:tabs>
        <w:ind w:left="4050"/>
        <w:rPr>
          <w:lang w:val="vi-VN"/>
        </w:rPr>
      </w:pPr>
      <w:r w:rsidRPr="00031FAE">
        <w:rPr>
          <w:u w:val="single"/>
          <w:lang w:val="vi-VN" w:bidi="vi-VN"/>
        </w:rPr>
        <w:t>Chấp thuận</w:t>
      </w:r>
      <w:r w:rsidRPr="005F1901">
        <w:rPr>
          <w:lang w:val="vi-VN" w:bidi="vi-VN"/>
        </w:rPr>
        <w:t xml:space="preserve"> – Phản hồi cho bệnh nhân sẽ được gửi qua đường bưu điện trong vòng 30 ngày sau khi nhận được Đơn đăng ký nhận Hỗ trợ Tài chính hoàn tất.</w:t>
      </w:r>
    </w:p>
    <w:p w14:paraId="03B9842D" w14:textId="77777777" w:rsidR="00DB49D8" w:rsidRPr="00031FAE" w:rsidRDefault="001C2B1C" w:rsidP="00031FAE">
      <w:pPr>
        <w:pStyle w:val="ListParagraph2"/>
        <w:tabs>
          <w:tab w:val="clear" w:pos="4464"/>
        </w:tabs>
        <w:ind w:left="4050"/>
        <w:rPr>
          <w:lang w:val="vi-VN"/>
        </w:rPr>
      </w:pPr>
      <w:r w:rsidRPr="00031FAE">
        <w:rPr>
          <w:u w:val="single"/>
          <w:lang w:val="vi-VN" w:bidi="vi-VN"/>
        </w:rPr>
        <w:t>Từ chối hoặc Chờ xử lý/Chưa hoàn tất</w:t>
      </w:r>
      <w:r w:rsidRPr="005F1901">
        <w:rPr>
          <w:lang w:val="vi-VN" w:bidi="vi-VN"/>
        </w:rPr>
        <w:t xml:space="preserve"> – Phản hồi cho bệnh nhân sẽ được gửi qua đường bưu điện trong vòng 30 ngày và sẽ bao gồm những chỉ dẫn cho bệnh nhân nếu họ chọn kháng cáo về bất kỳ quyết định bất lợi nào. Nếu đơn đăng ký của bệnh nhân chưa hoàn tất, các hoạt động thu nợ của THR sẽ được tạm dừng trong 30 ngày. Nếu bệnh nhân không cung cấp dữ liệu cần thiết, hoạt động thu nợ sẽ tiếp tục lại sau 30 ngày và số dư có thể được cơ quan thu nợ xử lý và chú thích “nợ quá hạn” có thể được đưa vào báo cáo tín dụng của bệnh nhân.</w:t>
      </w:r>
    </w:p>
    <w:p w14:paraId="03B9842E" w14:textId="77777777" w:rsidR="004B089A" w:rsidRPr="00031FAE" w:rsidRDefault="001C2B1C" w:rsidP="00031FAE">
      <w:pPr>
        <w:pStyle w:val="ListParagraph2"/>
        <w:tabs>
          <w:tab w:val="clear" w:pos="4464"/>
        </w:tabs>
        <w:ind w:left="4050"/>
        <w:rPr>
          <w:lang w:val="vi-VN"/>
        </w:rPr>
      </w:pPr>
      <w:r w:rsidRPr="00031FAE">
        <w:rPr>
          <w:u w:val="single"/>
          <w:lang w:val="vi-VN" w:bidi="vi-VN"/>
        </w:rPr>
        <w:t>Sàng lọc Có cơ sở/Tự động</w:t>
      </w:r>
      <w:r w:rsidRPr="005F1901">
        <w:rPr>
          <w:lang w:val="vi-VN" w:bidi="vi-VN"/>
        </w:rPr>
        <w:t xml:space="preserve"> – Thông báo sẽ không được gửi cho những bệnh nhân đã được phê duyệt dựa trên quy trình hỗ trợ tài chính tự động (có cơ sở).</w:t>
      </w:r>
    </w:p>
    <w:p w14:paraId="03B9842F" w14:textId="77777777" w:rsidR="004B089A" w:rsidRPr="00031FAE" w:rsidRDefault="001C2B1C" w:rsidP="00031FAE">
      <w:pPr>
        <w:pStyle w:val="ListParagraph"/>
        <w:tabs>
          <w:tab w:val="clear" w:pos="3744"/>
        </w:tabs>
        <w:spacing w:before="240"/>
        <w:ind w:left="3420"/>
        <w:rPr>
          <w:lang w:val="vi-VN"/>
        </w:rPr>
      </w:pPr>
      <w:r w:rsidRPr="00AC46A6">
        <w:rPr>
          <w:rStyle w:val="SubtleEmphasis"/>
          <w:lang w:val="vi-VN" w:bidi="vi-VN"/>
        </w:rPr>
        <w:t>Kháng cáo</w:t>
      </w:r>
      <w:r w:rsidRPr="005F1901">
        <w:rPr>
          <w:lang w:val="vi-VN" w:bidi="vi-VN"/>
        </w:rPr>
        <w:t xml:space="preserve"> – Kháng cáo về Đơn đăng ký nhận Hỗ trợ Tài chính bị từ chối sẽ được xem xét nếu những thay đổi đáng kể về hoàn cảnh của bệnh nhân được chứng minh bằng tài liệu. Các thay đổi có thể bao gồm, nhưng không giới hạn ở thay đổi về việc làm, sức khỏe, tình trạng hôn nhân hay tình trạng gia đình. Kháng cáo có thể được thực hiện bởi bệnh nhân bất cứ lúc nào trong 365 ngày đầu kể từ ngày thanh toán ban đầu.</w:t>
      </w:r>
    </w:p>
    <w:p w14:paraId="03B98430" w14:textId="77777777" w:rsidR="004B089A" w:rsidRPr="00031FAE" w:rsidRDefault="001C2B1C" w:rsidP="00031FAE">
      <w:pPr>
        <w:pStyle w:val="ListParagraph"/>
        <w:tabs>
          <w:tab w:val="clear" w:pos="3744"/>
        </w:tabs>
        <w:ind w:left="3420"/>
        <w:rPr>
          <w:lang w:val="vi-VN"/>
        </w:rPr>
      </w:pPr>
      <w:r w:rsidRPr="00AC46A6">
        <w:rPr>
          <w:rStyle w:val="SubtleEmphasis"/>
          <w:lang w:val="vi-VN" w:bidi="vi-VN"/>
        </w:rPr>
        <w:t>Báo cáo</w:t>
      </w:r>
      <w:r w:rsidRPr="005F1901">
        <w:rPr>
          <w:lang w:val="vi-VN" w:bidi="vi-VN"/>
        </w:rPr>
        <w:t xml:space="preserve"> – Mọi điều chỉnh tài chính phải được ghi vào sổ sách và hồ sơ của Texas Health trên cơ sở hàng tháng và nhật ký hỗ trợ tài chính phải được lưu giữ cho mỗi bệnh viện. Ở mức tối thiểu, nhật ký hỗ trợ tài chính phải chứa các thông tin sau: tên bệnh nhân, viện phí tổng cộng, số tiền thanh toán nhận được trên tài khoản của bệnh nhân, số tiền điều chỉnh tài chính và phân loại hỗ trợ tài chính (chẳng hạn như Nghèo về mặt tài chính, Nghèo về mặt y tế hoặc Nghèo thê thảm).</w:t>
      </w:r>
    </w:p>
    <w:p w14:paraId="03B98431" w14:textId="77777777" w:rsidR="004B089A" w:rsidRPr="00031FAE" w:rsidRDefault="001C2B1C" w:rsidP="00031FAE">
      <w:pPr>
        <w:pStyle w:val="ListParagraph"/>
        <w:tabs>
          <w:tab w:val="clear" w:pos="3744"/>
        </w:tabs>
        <w:ind w:left="3420"/>
        <w:rPr>
          <w:lang w:val="vi-VN"/>
        </w:rPr>
      </w:pPr>
      <w:r w:rsidRPr="00AC46A6">
        <w:rPr>
          <w:rStyle w:val="SubtleEmphasis"/>
          <w:lang w:val="vi-VN" w:bidi="vi-VN"/>
        </w:rPr>
        <w:t>Lưu giữ Hồ sơ</w:t>
      </w:r>
      <w:r w:rsidRPr="005F1901">
        <w:rPr>
          <w:lang w:val="vi-VN" w:bidi="vi-VN"/>
        </w:rPr>
        <w:t xml:space="preserve"> – Đủ tài liệu để xác định thu nhập của mỗi bệnh nhân, số tiền mà bệnh nhân nợ, quy trình xem xét và phê duyệt đã tuân thủ, và tình trạng của bệnh nhân như là Nghèo về mặt tài chính, Nghèo về mặt y tế hoặc Nghèo thê thảm sẽ được lưu giữ bởi phòng kinh doanh của Texas Health trong khoảng thời gian quy định theo chính sách lưu giữ hồ sơ của Texas Health.</w:t>
      </w:r>
    </w:p>
    <w:p w14:paraId="03B98432" w14:textId="77777777" w:rsidR="00DB49D8" w:rsidRPr="00031FAE" w:rsidRDefault="00704D6D" w:rsidP="00031FAE">
      <w:pPr>
        <w:pStyle w:val="ListParagraph"/>
        <w:tabs>
          <w:tab w:val="clear" w:pos="3744"/>
        </w:tabs>
        <w:ind w:left="3420"/>
        <w:rPr>
          <w:lang w:val="vi-VN"/>
        </w:rPr>
      </w:pPr>
      <w:r w:rsidRPr="00AC46A6">
        <w:rPr>
          <w:rStyle w:val="SubtleEmphasis"/>
          <w:lang w:val="vi-VN" w:bidi="vi-VN"/>
        </w:rPr>
        <w:t xml:space="preserve">Số dư Còn lại </w:t>
      </w:r>
      <w:r w:rsidR="00AC46A6">
        <w:rPr>
          <w:lang w:val="vi-VN" w:bidi="vi-VN"/>
        </w:rPr>
        <w:t>– Các bệnh nhân được phê duyệt nhận hỗ trợ tài chính sẽ không bao giờ bị xuất hóa đơn cho số tiền còn lại nhiều hơn mức AGB (số tiền thường được lập hóa đơn) của Texas Health như quy định ở phần 5.0.</w:t>
      </w:r>
    </w:p>
    <w:p w14:paraId="03B98433" w14:textId="77777777" w:rsidR="00DB49D8" w:rsidRDefault="001C2B1C" w:rsidP="001C30FA">
      <w:pPr>
        <w:pStyle w:val="Heading1"/>
      </w:pPr>
      <w:r w:rsidRPr="005F1901">
        <w:rPr>
          <w:lang w:val="vi-VN" w:bidi="vi-VN"/>
        </w:rPr>
        <w:t>Định nghĩa:</w:t>
      </w:r>
    </w:p>
    <w:p w14:paraId="03B98434" w14:textId="77777777" w:rsidR="00DB49D8" w:rsidRPr="00031FAE" w:rsidRDefault="00284412" w:rsidP="001C30FA">
      <w:pPr>
        <w:pStyle w:val="Heading2"/>
        <w:rPr>
          <w:lang w:val="vi-VN"/>
        </w:rPr>
      </w:pPr>
      <w:r w:rsidRPr="00AC46A6">
        <w:rPr>
          <w:rStyle w:val="SubtleEmphasis"/>
          <w:lang w:val="vi-VN" w:bidi="vi-VN"/>
        </w:rPr>
        <w:t xml:space="preserve">Số tiền thường được lập hóa đơn (AGB) </w:t>
      </w:r>
      <w:r w:rsidRPr="005F1901">
        <w:rPr>
          <w:lang w:val="vi-VN" w:bidi="vi-VN"/>
        </w:rPr>
        <w:t>– Bình quân của các số tiền thường được lập hóa đơn cho các cá nhân được bảo hiểm. Yêu cầu bồi thường trong năm (12 tháng) tài chính trước đó được bao gồm trong cách tính này. Các yêu cầu bồi thường bao gồm phí dịch vụ Medicare cũng như tất cả các công ty bảo hiểm y tế tư nhân khác. Mỗi một trong số các bệnh viện áp dụng chính sách này sẽ tính toán riêng tỷ lệ % AGB hàng năm và sử dụng “Phương pháp Xem xét lại” như quy định ở Phần 501(r) Đạo Luật Doanh thu Nội bộ. Texas Health sẽ so sánh số tiền do các bệnh nhân được bảo hiểm và các công ty bảo hiểm của họ chi trả trong năm tài chính trước đó. Bệnh nhân được phê duyệt nhận hỗ trợ tài chính không thể bị tính phí nhiều hơn mức AGB. THR sẽ áp dụng một mức phí trên toàn hệ thống cho tất cả các bệnh viện áp dụng chính sách hỗ trợ tài chính này. AGB được tính toán hàng năm và Phó Giám đốc Tài chính Cấp cao của Texas Health sẽ xác định mức phí AGB áp dụng trên toàn hệ thống mà không được cao hơn AGB thấp nhất của từng bệnh viện. Bản sao cách tính này có sẵn trong Tài liệu đính kèm D.</w:t>
      </w:r>
    </w:p>
    <w:p w14:paraId="03B98435" w14:textId="77777777" w:rsidR="00DB49D8" w:rsidRPr="00031FAE" w:rsidRDefault="001C2B1C" w:rsidP="00AC46A6">
      <w:pPr>
        <w:pStyle w:val="Heading2"/>
        <w:rPr>
          <w:lang w:val="vi-VN"/>
        </w:rPr>
      </w:pPr>
      <w:r w:rsidRPr="00AC46A6">
        <w:rPr>
          <w:rStyle w:val="SubtleEmphasis"/>
          <w:lang w:val="vi-VN" w:bidi="vi-VN"/>
        </w:rPr>
        <w:t xml:space="preserve">Thu nhập Hàng năm </w:t>
      </w:r>
      <w:r w:rsidR="00AC46A6" w:rsidRPr="00AC46A6">
        <w:rPr>
          <w:lang w:val="vi-VN" w:bidi="vi-VN"/>
        </w:rPr>
        <w:t>– Nếu bệnh nhân là người lớn thì thuật ngữ Thu nhập Hàng năm chỉ tổng thu nhập gộp hàng năm của bệnh nhân và bất kỳ bên chịu trách nhiệm nào khác. Nếu bệnh nhân đã kết hôn thì Thu nhập Hàng năm cũng sẽ bao gồm tổng thu nhập gộp hàng năm của vợ/chồng bệnh nhân. Nếu bệnh nhân là trẻ vị thành niên thì thuật ngữ Thu nhập Hàng năm chỉ tổng thu nhập gộp hàng năm của bệnh nhân, bố mẹ và/hoặc bất kỳ bên chịu trách nhiệm nào khác.</w:t>
      </w:r>
    </w:p>
    <w:p w14:paraId="03B98436" w14:textId="77777777" w:rsidR="004B089A" w:rsidRPr="00031FAE" w:rsidRDefault="00284412" w:rsidP="00AC46A6">
      <w:pPr>
        <w:pStyle w:val="Heading2"/>
        <w:rPr>
          <w:lang w:val="vi-VN"/>
        </w:rPr>
      </w:pPr>
      <w:r w:rsidRPr="00AC46A6">
        <w:rPr>
          <w:rStyle w:val="SubtleEmphasis"/>
          <w:lang w:val="vi-VN" w:bidi="vi-VN"/>
        </w:rPr>
        <w:t xml:space="preserve">Dư nợ Bệnh nhân Hiện tại </w:t>
      </w:r>
      <w:r w:rsidR="00AC46A6" w:rsidRPr="00AC46A6">
        <w:rPr>
          <w:lang w:val="vi-VN" w:bidi="vi-VN"/>
        </w:rPr>
        <w:t>– Số tiền mà bệnh nhân nợ sau khi áp dụng các khoản thanh toán và khấu trừ thích hợp của bên thứ ba. Đối với những bệnh nhân không có bảo hiểm, số tiền này phản ánh dư nợ sau khi áp dụng khoản khấu trừ không được bảo hiểm.</w:t>
      </w:r>
    </w:p>
    <w:p w14:paraId="03B98437" w14:textId="77777777" w:rsidR="00DB49D8" w:rsidRPr="00031FAE" w:rsidRDefault="00284412" w:rsidP="00AC46A6">
      <w:pPr>
        <w:pStyle w:val="Heading2"/>
        <w:rPr>
          <w:lang w:val="vi-VN"/>
        </w:rPr>
      </w:pPr>
      <w:r w:rsidRPr="00AC46A6">
        <w:rPr>
          <w:rStyle w:val="SubtleEmphasis"/>
          <w:lang w:val="vi-VN" w:bidi="vi-VN"/>
        </w:rPr>
        <w:t xml:space="preserve">Tiêu chuẩn về tình trạng hợp lệ </w:t>
      </w:r>
      <w:r w:rsidR="00AC46A6" w:rsidRPr="00AC46A6">
        <w:rPr>
          <w:lang w:val="vi-VN" w:bidi="vi-VN"/>
        </w:rPr>
        <w:t>– Tiêu chuẩn tài chính và các quy trình được thiết lập bởi chính sách hỗ trợ tài chính này được mô tả trong Tài liệu đính kèm A. Tiêu chuẩn tài chính sẽ bao gồm các mức thu nhập tham chiếu theo hướng dẫn mức nghèo của liên bang và thẩm tra khả năng thu nhập. Các tiêu chuẩn tài chính không ấn định mức thu nhập nhận hỗ trợ tài chính thấp hơn hoặc cao hơn mức quy định bởi các quận của tiểu bang Texas theo Phần 61.023 Đạo luật Chăm sóc Sức khỏe &amp; Điều trị cho Người nghèo; trong trường hợp Nghèo về mặt tài chính thì cao hơn 200% hướng dẫn mức nghèo của liên bang. Hướng dẫn mức nghèo của liên bang được công bố trên nhật báo Federal Register vào tháng 2 mỗi năm và nhằm phục vụ cho chính sách hỗ trợ tài chính này, nó sẽ có hiệu lực vào ngày đầu tiên của tháng kế tiếp sau tháng xuất bản. Các hướng dẫn được công bố bởi Sở Dịch vụ Y tế tiểu bang Texas có thể được tìm thấy trên website của họ.</w:t>
      </w:r>
    </w:p>
    <w:p w14:paraId="03B98438" w14:textId="77777777" w:rsidR="004B089A" w:rsidRPr="00031FAE" w:rsidRDefault="009022C3" w:rsidP="00AC46A6">
      <w:pPr>
        <w:pStyle w:val="Heading2"/>
        <w:rPr>
          <w:lang w:val="vi-VN"/>
        </w:rPr>
      </w:pPr>
      <w:r w:rsidRPr="00AC46A6">
        <w:rPr>
          <w:rStyle w:val="SubtleEmphasis"/>
          <w:lang w:val="vi-VN" w:bidi="vi-VN"/>
        </w:rPr>
        <w:t xml:space="preserve">Biện pháp Thu nợ Bất thường (ECA) </w:t>
      </w:r>
      <w:r w:rsidR="00AC46A6" w:rsidRPr="00AC46A6">
        <w:rPr>
          <w:lang w:val="vi-VN" w:bidi="vi-VN"/>
        </w:rPr>
        <w:t>– Theo Phần 501(r) của IRC, các biện pháp nhất định mà bệnh viện tiến hành đối với một cá nhân liên quan đến việc nhận thanh toán cho hóa đơn bệnh viện được coi là hành động thu nợ bất thường. ECA duy nhất sẽ được thực hiện theo chính sách này là báo cáo thông tin bất lợi cho cơ quan tín dụng tiêu dùng hoặc phòng tín dụng bởi một bệnh viện của Texas Health hoặc một trong các đại lý của bệnh viện. Loại báo cáo này sẽ diễn ra không sớm hơn 130 ngày kể từ ngày nhận hóa đơn đầu tiên sau khi xuất viện.</w:t>
      </w:r>
    </w:p>
    <w:p w14:paraId="03B98439" w14:textId="77777777" w:rsidR="004B089A" w:rsidRPr="00031FAE" w:rsidRDefault="00AF08D4" w:rsidP="001C30FA">
      <w:pPr>
        <w:pStyle w:val="Heading2"/>
        <w:rPr>
          <w:lang w:val="vi-VN"/>
        </w:rPr>
      </w:pPr>
      <w:r w:rsidRPr="004B089A">
        <w:rPr>
          <w:rStyle w:val="SubtleEmphasis"/>
          <w:lang w:val="vi-VN" w:bidi="vi-VN"/>
        </w:rPr>
        <w:t>Đơn đăng ký nhận Hỗ trợ Tài chính</w:t>
      </w:r>
      <w:r w:rsidR="001C2B1C" w:rsidRPr="005F1901">
        <w:rPr>
          <w:lang w:val="vi-VN" w:bidi="vi-VN"/>
        </w:rPr>
        <w:t xml:space="preserve"> – Một yêu cầu bằng văn bản từ phía bệnh nhân, bên chịu trách nhiệm hoặc bên quan tâm khác để nhận hỗ trợ tài chính theo Chính sách Hỗ trợ Tài chính của Texas Health, qua đó tóm tắt thông tin tài chính và các thông tin khác cần thiết nhằm xác định tình trạng hợp lệ. Nội dung của Đơn đăng ký nhận Hỗ trợ Tài chính sẽ được quyết định bởi Phó Giám đốc phụ trách Hoạt động Chu kỳ Doanh thu của Texas Health hoặc người được Phó giám đốc chỉ định. (xem tài liệu đính kèm D để có bản sao Đơn đăng ký nhận Hỗ trợ Tài chính của Texas Health)</w:t>
      </w:r>
    </w:p>
    <w:p w14:paraId="03B9843A" w14:textId="77777777" w:rsidR="00DB49D8" w:rsidRPr="00031FAE" w:rsidRDefault="001C2B1C" w:rsidP="001C30FA">
      <w:pPr>
        <w:pStyle w:val="Heading2"/>
        <w:rPr>
          <w:lang w:val="vi-VN"/>
        </w:rPr>
      </w:pPr>
      <w:r w:rsidRPr="004B089A">
        <w:rPr>
          <w:rStyle w:val="SubtleEmphasis"/>
          <w:lang w:val="vi-VN" w:bidi="vi-VN"/>
        </w:rPr>
        <w:t xml:space="preserve">Nghèo về mặt tài chính </w:t>
      </w:r>
      <w:r w:rsidR="00AC46A6">
        <w:rPr>
          <w:lang w:val="vi-VN" w:bidi="vi-VN"/>
        </w:rPr>
        <w:t>– Bệnh nhân không được bảo hiểm hoặc được bảo hiểm dưới mức có Thu nhập Hàng năm thấp hơn hoặc bằng 200% hướng dẫn mức nghèo áp dụng của liên bang. Tình trạng của mỗi bệnh nhân sẽ được đánh giá theo hoàn cảnh liên quan hiện tại chẳng hạn như thu nhập, tài sản hoặc các nguồn lực tài chính khác sẵn có đối với bệnh nhân hoặc gia đình bệnh nhân.</w:t>
      </w:r>
    </w:p>
    <w:p w14:paraId="03B9843B" w14:textId="77777777" w:rsidR="00DB49D8" w:rsidRPr="00031FAE" w:rsidRDefault="001C2B1C" w:rsidP="001C30FA">
      <w:pPr>
        <w:pStyle w:val="Heading2"/>
        <w:rPr>
          <w:lang w:val="vi-VN"/>
        </w:rPr>
      </w:pPr>
      <w:r w:rsidRPr="004B089A">
        <w:rPr>
          <w:rStyle w:val="SubtleEmphasis"/>
          <w:lang w:val="vi-VN" w:bidi="vi-VN"/>
        </w:rPr>
        <w:t>Nghèo về mặt y tế</w:t>
      </w:r>
      <w:r w:rsidR="00AC46A6">
        <w:rPr>
          <w:lang w:val="vi-VN" w:bidi="vi-VN"/>
        </w:rPr>
        <w:t>– Người có Dư nợ Bệnh nhân Hiện tại vượt quá tỷ lệ % cụ thể trong Thu nhập Hàng năm của bệnh nhân, được xác định theo Hướng dẫn về tình trạng hợp lệ nêu chi tiết trong Tài liệu đính kèm A của chính sách này.</w:t>
      </w:r>
    </w:p>
    <w:p w14:paraId="03B9843C" w14:textId="77777777" w:rsidR="004B089A" w:rsidRPr="00031FAE" w:rsidRDefault="001C2B1C" w:rsidP="001C30FA">
      <w:pPr>
        <w:pStyle w:val="Heading2"/>
        <w:rPr>
          <w:lang w:val="vi-VN"/>
        </w:rPr>
      </w:pPr>
      <w:r w:rsidRPr="004B089A">
        <w:rPr>
          <w:rStyle w:val="SubtleEmphasis"/>
          <w:lang w:val="vi-VN" w:bidi="vi-VN"/>
        </w:rPr>
        <w:t>Chăm sóc Cần thiết Về mặt y tế</w:t>
      </w:r>
      <w:r w:rsidRPr="005F1901">
        <w:rPr>
          <w:lang w:val="vi-VN" w:bidi="vi-VN"/>
        </w:rPr>
        <w:t xml:space="preserve"> – Nói chung, các dịch vụ bệnh viện khẩn cấp nội trú và ngoại trú không tự chọn đều có thể bồi hoàn theo các chương trình Medicare và/hoặc Medicaid.</w:t>
      </w:r>
    </w:p>
    <w:p w14:paraId="03B9843D" w14:textId="77777777" w:rsidR="00DB49D8" w:rsidRPr="00031FAE" w:rsidRDefault="001C2B1C" w:rsidP="001C30FA">
      <w:pPr>
        <w:pStyle w:val="Heading2"/>
        <w:rPr>
          <w:lang w:val="vi-VN"/>
        </w:rPr>
      </w:pPr>
      <w:r w:rsidRPr="004B089A">
        <w:rPr>
          <w:rStyle w:val="SubtleEmphasis"/>
          <w:lang w:val="vi-VN" w:bidi="vi-VN"/>
        </w:rPr>
        <w:t xml:space="preserve">Chính sách Hỗ trợ Tài chính của Texas Health </w:t>
      </w:r>
      <w:r w:rsidR="00AC46A6">
        <w:rPr>
          <w:lang w:val="vi-VN" w:bidi="vi-VN"/>
        </w:rPr>
        <w:t>– Chính sách được thực thi bởi Texas Health nhằm cung cấp nguồn hỗ trợ tài chính cho các bệnh nhân đủ điều kiện Nghèo về mặt tài chính, Nghèo về mặt y tế hoặc Nghèo thê thảm. Hướng dẫn về tình trạng hợp lệ để nhận hỗ trợ tài chính được nêu chi tiết trong Tài liệu đính kèm A của chính sách này.</w:t>
      </w:r>
    </w:p>
    <w:p w14:paraId="03B9843E" w14:textId="77777777" w:rsidR="00DB49D8" w:rsidRPr="00031FAE" w:rsidRDefault="001C2B1C" w:rsidP="001C30FA">
      <w:pPr>
        <w:pStyle w:val="Heading1"/>
        <w:rPr>
          <w:lang w:val="vi-VN"/>
        </w:rPr>
      </w:pPr>
      <w:r w:rsidRPr="005F1901">
        <w:rPr>
          <w:lang w:val="vi-VN" w:bidi="vi-VN"/>
        </w:rPr>
        <w:t>Các Bên Chịu trách nhiệm:</w:t>
      </w:r>
    </w:p>
    <w:p w14:paraId="03B9843F" w14:textId="77777777" w:rsidR="001C2B1C" w:rsidRPr="00031FAE" w:rsidRDefault="00844B5B" w:rsidP="001C30FA">
      <w:pPr>
        <w:pStyle w:val="Heading2"/>
        <w:rPr>
          <w:lang w:val="vi-VN"/>
        </w:rPr>
      </w:pPr>
      <w:r w:rsidRPr="004B089A">
        <w:rPr>
          <w:rStyle w:val="SubtleEmphasis"/>
          <w:lang w:val="vi-VN" w:bidi="vi-VN"/>
        </w:rPr>
        <w:t>Phó Giám đốc Tài chính Cấp cao của Texas Health</w:t>
      </w:r>
      <w:r w:rsidR="001C2B1C" w:rsidRPr="005F1901">
        <w:rPr>
          <w:lang w:val="vi-VN" w:bidi="vi-VN"/>
        </w:rPr>
        <w:t>:</w:t>
      </w:r>
    </w:p>
    <w:p w14:paraId="03B98440" w14:textId="77777777" w:rsidR="00DB49D8" w:rsidRPr="00031FAE" w:rsidRDefault="001C2B1C" w:rsidP="007A0AA8">
      <w:pPr>
        <w:pStyle w:val="Heading3"/>
        <w:spacing w:before="0"/>
        <w:rPr>
          <w:lang w:val="vi-VN"/>
        </w:rPr>
      </w:pPr>
      <w:r w:rsidRPr="005F1901">
        <w:rPr>
          <w:lang w:val="vi-VN" w:bidi="vi-VN"/>
        </w:rPr>
        <w:t>Chịu trách nhiệm giám sát Chính sách Hỗ trợ Tài chính của Texas Health.</w:t>
      </w:r>
    </w:p>
    <w:p w14:paraId="03B98441" w14:textId="77777777" w:rsidR="001C2B1C" w:rsidRPr="00031FAE" w:rsidRDefault="001C2B1C" w:rsidP="001C30FA">
      <w:pPr>
        <w:pStyle w:val="Heading2"/>
        <w:rPr>
          <w:lang w:val="vi-VN"/>
        </w:rPr>
      </w:pPr>
      <w:r w:rsidRPr="004B089A">
        <w:rPr>
          <w:rStyle w:val="SubtleEmphasis"/>
          <w:lang w:val="vi-VN" w:bidi="vi-VN"/>
        </w:rPr>
        <w:t>Phó Giám đốc phụ trách Hoạt động Chu kỳ Doanh thu của Texas Health</w:t>
      </w:r>
      <w:r w:rsidRPr="005F1901">
        <w:rPr>
          <w:lang w:val="vi-VN" w:bidi="vi-VN"/>
        </w:rPr>
        <w:t>.</w:t>
      </w:r>
    </w:p>
    <w:p w14:paraId="03B98442" w14:textId="77777777" w:rsidR="00DB49D8" w:rsidRPr="00031FAE" w:rsidRDefault="001C2B1C" w:rsidP="007A0AA8">
      <w:pPr>
        <w:pStyle w:val="Heading3"/>
        <w:spacing w:before="0"/>
        <w:rPr>
          <w:lang w:val="vi-VN"/>
        </w:rPr>
      </w:pPr>
      <w:r w:rsidRPr="005F1901">
        <w:rPr>
          <w:lang w:val="vi-VN" w:bidi="vi-VN"/>
        </w:rPr>
        <w:t>Chịu trách nhiệm quản lý hàng ngày đối với Chính sách Tài chính của Texas Health.</w:t>
      </w:r>
    </w:p>
    <w:p w14:paraId="03B98443" w14:textId="77777777" w:rsidR="001C2B1C" w:rsidRPr="005F1901" w:rsidRDefault="001C2B1C" w:rsidP="001C30FA">
      <w:pPr>
        <w:pStyle w:val="Heading2"/>
      </w:pPr>
      <w:r w:rsidRPr="004B089A">
        <w:rPr>
          <w:rStyle w:val="SubtleEmphasis"/>
          <w:lang w:val="vi-VN" w:bidi="vi-VN"/>
        </w:rPr>
        <w:t>Nhân viên Phòng Kinh doanh của Texas Health</w:t>
      </w:r>
      <w:r w:rsidRPr="005F1901">
        <w:rPr>
          <w:lang w:val="vi-VN" w:bidi="vi-VN"/>
        </w:rPr>
        <w:t>.</w:t>
      </w:r>
    </w:p>
    <w:p w14:paraId="03B98444" w14:textId="77777777" w:rsidR="004B089A" w:rsidRDefault="001C2B1C" w:rsidP="007A0AA8">
      <w:pPr>
        <w:pStyle w:val="Heading3"/>
        <w:spacing w:before="0"/>
      </w:pPr>
      <w:r w:rsidRPr="005F1901">
        <w:rPr>
          <w:lang w:val="vi-VN" w:bidi="vi-VN"/>
        </w:rPr>
        <w:t>Chịu trách nhiệm thông báo cho tất cả các bệnh nhân về sự tồn tại của Chính sách Hỗ trợ Tài chính của Texas Health.</w:t>
      </w:r>
    </w:p>
    <w:p w14:paraId="03B98445" w14:textId="77777777" w:rsidR="00DB49D8" w:rsidRDefault="001C2B1C" w:rsidP="007A0AA8">
      <w:pPr>
        <w:pStyle w:val="Heading3"/>
        <w:spacing w:before="240"/>
      </w:pPr>
      <w:r w:rsidRPr="005F1901">
        <w:rPr>
          <w:lang w:val="vi-VN" w:bidi="vi-VN"/>
        </w:rPr>
        <w:t>Chịu trách nhiệm xem xét Đơn đăng ký nhận Hỗ trợ Tài chính và xác định mức độ hỗ trợ tài chính.</w:t>
      </w:r>
    </w:p>
    <w:p w14:paraId="03B98446" w14:textId="77777777" w:rsidR="004B089A" w:rsidRDefault="001C30FA" w:rsidP="007A0AA8">
      <w:pPr>
        <w:pStyle w:val="Heading3"/>
        <w:spacing w:before="240"/>
      </w:pPr>
      <w:r>
        <w:rPr>
          <w:lang w:val="vi-VN" w:bidi="vi-VN"/>
        </w:rPr>
        <w:t>Chịu trách nhiệm thông báo cho người đăng ký về tình trạng yêu cầu nhận hỗ trợ tài chính và quyền kháng cáo của họ về quyết định bất lợi.</w:t>
      </w:r>
    </w:p>
    <w:p w14:paraId="03B98447" w14:textId="77777777" w:rsidR="00DB49D8" w:rsidRDefault="001C2B1C" w:rsidP="007A0AA8">
      <w:pPr>
        <w:pStyle w:val="Heading3"/>
        <w:spacing w:before="240"/>
      </w:pPr>
      <w:r w:rsidRPr="005F1901">
        <w:rPr>
          <w:lang w:val="vi-VN" w:bidi="vi-VN"/>
        </w:rPr>
        <w:t>Chịu trách nhiệm xử lý kháng cáo của những Đơn đăng ký nhận Hỗ trợ Tài chính bị từ chối.</w:t>
      </w:r>
    </w:p>
    <w:p w14:paraId="03B98448" w14:textId="77777777" w:rsidR="00DB49D8" w:rsidRDefault="001C2B1C" w:rsidP="007A0AA8">
      <w:pPr>
        <w:pStyle w:val="Heading3"/>
        <w:spacing w:before="240"/>
      </w:pPr>
      <w:r w:rsidRPr="005F1901">
        <w:rPr>
          <w:lang w:val="vi-VN" w:bidi="vi-VN"/>
        </w:rPr>
        <w:t>Chịu trách nhiệm lưu giữ tài liệu liên quan đến việc xác định tình trạng hợp lệ về tài chính.</w:t>
      </w:r>
    </w:p>
    <w:p w14:paraId="03B98449" w14:textId="77777777" w:rsidR="001C2B1C" w:rsidRPr="005F1901" w:rsidRDefault="001C2B1C" w:rsidP="001C30FA">
      <w:pPr>
        <w:pStyle w:val="Heading2"/>
      </w:pPr>
      <w:r w:rsidRPr="004B089A">
        <w:rPr>
          <w:rStyle w:val="SubtleEmphasis"/>
          <w:lang w:val="vi-VN" w:bidi="vi-VN"/>
        </w:rPr>
        <w:t>Các Bệnh viện của Texas Health – Tất cả</w:t>
      </w:r>
      <w:r w:rsidRPr="005F1901">
        <w:rPr>
          <w:lang w:val="vi-VN" w:bidi="vi-VN"/>
        </w:rPr>
        <w:t>.</w:t>
      </w:r>
    </w:p>
    <w:p w14:paraId="03B9844A" w14:textId="77777777" w:rsidR="004B089A" w:rsidRDefault="001C2B1C" w:rsidP="007A0AA8">
      <w:pPr>
        <w:pStyle w:val="Heading3"/>
        <w:spacing w:before="0"/>
      </w:pPr>
      <w:r w:rsidRPr="005F1901">
        <w:rPr>
          <w:lang w:val="vi-VN" w:bidi="vi-VN"/>
        </w:rPr>
        <w:t>Chịu trách nhiệm thông báo cho bệnh nhân về sự tồn tại của Chính sách Hỗ trợ Tài chính của Texas Health.</w:t>
      </w:r>
    </w:p>
    <w:p w14:paraId="03B9844B" w14:textId="77777777" w:rsidR="00DB49D8" w:rsidRDefault="001C2B1C" w:rsidP="007A0AA8">
      <w:pPr>
        <w:pStyle w:val="Heading3"/>
        <w:spacing w:before="240"/>
      </w:pPr>
      <w:r w:rsidRPr="005F1901">
        <w:rPr>
          <w:lang w:val="vi-VN" w:bidi="vi-VN"/>
        </w:rPr>
        <w:t>Chịu trách nhiệm thực hiện quy trình xem xét nhằm xác định tình trạng hợp lệ để nhận hỗ trợ tài chính cho bệnh nhân trước khi được cung cấp các dịch vụ của bệnh viện và thông báo họ quyết định về tình trạng hợp lệ.</w:t>
      </w:r>
    </w:p>
    <w:p w14:paraId="03B9844C" w14:textId="77777777" w:rsidR="001C2B1C" w:rsidRPr="005F1901" w:rsidRDefault="00C913FE" w:rsidP="001C30FA">
      <w:pPr>
        <w:pStyle w:val="Heading2"/>
      </w:pPr>
      <w:r w:rsidRPr="004B089A">
        <w:rPr>
          <w:rStyle w:val="SubtleEmphasis"/>
          <w:lang w:val="vi-VN" w:bidi="vi-VN"/>
        </w:rPr>
        <w:t>Nhân viên Tài chính của Bệnh viện</w:t>
      </w:r>
      <w:r w:rsidR="001C2B1C" w:rsidRPr="005F1901">
        <w:rPr>
          <w:lang w:val="vi-VN" w:bidi="vi-VN"/>
        </w:rPr>
        <w:t>.</w:t>
      </w:r>
    </w:p>
    <w:p w14:paraId="03B9844D" w14:textId="77777777" w:rsidR="00DB49D8" w:rsidRDefault="002F5C81" w:rsidP="007A0AA8">
      <w:pPr>
        <w:pStyle w:val="Heading3"/>
        <w:spacing w:before="0"/>
      </w:pPr>
      <w:r w:rsidRPr="005F1901">
        <w:rPr>
          <w:lang w:val="vi-VN" w:bidi="vi-VN"/>
        </w:rPr>
        <w:t>Nếu yêu cầu hỗ trợ tài chính được đưa ra trước khi cung cấp một dịch vụ theo lịch thì việc xác định tình trạng hợp lệ này sẽ cần được phê duyệt bởi nhân viên tài chính của bệnh viện hoặc người được họ chỉ định.</w:t>
      </w:r>
    </w:p>
    <w:p w14:paraId="03B9844E" w14:textId="77777777" w:rsidR="007A0AA8" w:rsidRDefault="00731820" w:rsidP="007A0AA8">
      <w:pPr>
        <w:pStyle w:val="Heading3"/>
        <w:spacing w:before="240"/>
        <w:rPr>
          <w:lang w:val="vi-VN" w:bidi="vi-VN"/>
        </w:rPr>
      </w:pPr>
      <w:r w:rsidRPr="005F1901">
        <w:rPr>
          <w:lang w:val="vi-VN" w:bidi="vi-VN"/>
        </w:rPr>
        <w:t>Chịu trách nhiệm về các quy trình và kiểm soát nội bộ nhằm ghi lại phù hợp các điều chỉnh tài chính vào sổ sách của bệnh viện trên cơ sở hàng tháng.</w:t>
      </w:r>
    </w:p>
    <w:p w14:paraId="03B9844F" w14:textId="77777777" w:rsidR="007A0AA8" w:rsidRDefault="007A0AA8" w:rsidP="007A0AA8">
      <w:pPr>
        <w:rPr>
          <w:rFonts w:eastAsiaTheme="majorEastAsia" w:cstheme="majorBidi"/>
          <w:szCs w:val="26"/>
          <w:lang w:val="vi-VN" w:bidi="vi-VN"/>
        </w:rPr>
      </w:pPr>
      <w:r>
        <w:rPr>
          <w:lang w:val="vi-VN" w:bidi="vi-VN"/>
        </w:rPr>
        <w:br w:type="page"/>
      </w:r>
    </w:p>
    <w:p w14:paraId="03B98450" w14:textId="77777777" w:rsidR="00CB34DB" w:rsidRPr="007A0AA8" w:rsidRDefault="001C2B1C" w:rsidP="007A0AA8">
      <w:pPr>
        <w:pStyle w:val="Heading1"/>
        <w:spacing w:before="0"/>
        <w:rPr>
          <w:lang w:val="vi-VN"/>
        </w:rPr>
      </w:pPr>
      <w:r w:rsidRPr="005F1901">
        <w:rPr>
          <w:lang w:val="vi-VN" w:bidi="vi-VN"/>
        </w:rPr>
        <w:t>Tài liệu tham khảo Bên ngoài</w:t>
      </w:r>
    </w:p>
    <w:p w14:paraId="03B98451" w14:textId="77777777" w:rsidR="00DB49D8" w:rsidRPr="00BC793A" w:rsidRDefault="001C2B1C" w:rsidP="007A0AA8">
      <w:pPr>
        <w:pStyle w:val="Heading2"/>
        <w:spacing w:before="0"/>
        <w:rPr>
          <w:lang w:val="vi-VN"/>
        </w:rPr>
      </w:pPr>
      <w:r w:rsidRPr="005F1901">
        <w:rPr>
          <w:lang w:val="vi-VN" w:bidi="vi-VN"/>
        </w:rPr>
        <w:t>Phần 311.043–045 Đạo luật Sức khỏe và An toàn tiểu bang Texas</w:t>
      </w:r>
    </w:p>
    <w:p w14:paraId="03B98452" w14:textId="77777777" w:rsidR="00DB49D8" w:rsidRPr="00BC793A" w:rsidRDefault="001C2B1C" w:rsidP="001C30FA">
      <w:pPr>
        <w:pStyle w:val="Heading2"/>
        <w:rPr>
          <w:lang w:val="vi-VN"/>
        </w:rPr>
      </w:pPr>
      <w:r w:rsidRPr="005F1901">
        <w:rPr>
          <w:lang w:val="vi-VN" w:bidi="vi-VN"/>
        </w:rPr>
        <w:t>EMTALA –– Đạo luật Điều trị Y tế Khẩn cấp và Lao động Hoạt động</w:t>
      </w:r>
    </w:p>
    <w:p w14:paraId="03B98453" w14:textId="77777777" w:rsidR="00DB49D8" w:rsidRPr="00BC793A" w:rsidRDefault="001C2B1C" w:rsidP="001C30FA">
      <w:pPr>
        <w:pStyle w:val="Heading2"/>
        <w:rPr>
          <w:lang w:val="vi-VN"/>
        </w:rPr>
      </w:pPr>
      <w:r w:rsidRPr="005F1901">
        <w:rPr>
          <w:lang w:val="vi-VN" w:bidi="vi-VN"/>
        </w:rPr>
        <w:t>Phần 61.023 (mức thu nhập) trong Đạo luật Chăm sóc Sức khỏe &amp; Điều trị cho Người nghèo</w:t>
      </w:r>
    </w:p>
    <w:p w14:paraId="03B98454" w14:textId="77777777" w:rsidR="00DB49D8" w:rsidRDefault="001C2B1C" w:rsidP="001C30FA">
      <w:pPr>
        <w:pStyle w:val="Heading2"/>
      </w:pPr>
      <w:r w:rsidRPr="005F1901">
        <w:rPr>
          <w:lang w:val="vi-VN" w:bidi="vi-VN"/>
        </w:rPr>
        <w:t>Hướng dẫn mức nghèo trên nhật báo Federal Register</w:t>
      </w:r>
    </w:p>
    <w:p w14:paraId="03B98455" w14:textId="77777777" w:rsidR="00DB49D8" w:rsidRDefault="001C2B1C" w:rsidP="001C30FA">
      <w:pPr>
        <w:pStyle w:val="Heading2"/>
      </w:pPr>
      <w:r w:rsidRPr="005F1901">
        <w:rPr>
          <w:lang w:val="vi-VN" w:bidi="vi-VN"/>
        </w:rPr>
        <w:t>Hướng dẫn của Sở Dịch vụ Y tế Texas</w:t>
      </w:r>
    </w:p>
    <w:p w14:paraId="03B98456" w14:textId="77777777" w:rsidR="00DB49D8" w:rsidRDefault="00BA0991" w:rsidP="001C30FA">
      <w:pPr>
        <w:pStyle w:val="Heading2"/>
        <w:rPr>
          <w:lang w:val="fr-FR"/>
        </w:rPr>
      </w:pPr>
      <w:r w:rsidRPr="00DB49D8">
        <w:rPr>
          <w:lang w:val="vi-VN" w:bidi="vi-VN"/>
        </w:rPr>
        <w:t>Phần 501(r) Đạo luật Doanh thu Nội bộ</w:t>
      </w:r>
    </w:p>
    <w:p w14:paraId="03B98457" w14:textId="77777777" w:rsidR="001C2B1C" w:rsidRPr="00031FAE" w:rsidRDefault="001C2B1C" w:rsidP="001C30FA">
      <w:pPr>
        <w:pStyle w:val="Heading1"/>
        <w:rPr>
          <w:lang w:val="fr-FR"/>
        </w:rPr>
      </w:pPr>
      <w:r w:rsidRPr="005F1901">
        <w:rPr>
          <w:lang w:val="vi-VN" w:bidi="vi-VN"/>
        </w:rPr>
        <w:t>Hồ sơ và/hoặc Tài liệu đính kèm liên quan:</w:t>
      </w:r>
    </w:p>
    <w:p w14:paraId="03B98458" w14:textId="77777777" w:rsidR="00DB49D8" w:rsidRPr="00031FAE" w:rsidRDefault="00C913FE" w:rsidP="007A0AA8">
      <w:pPr>
        <w:pStyle w:val="Heading2"/>
        <w:spacing w:before="0"/>
        <w:rPr>
          <w:lang w:val="fr-FR"/>
        </w:rPr>
      </w:pPr>
      <w:r w:rsidRPr="005F1901">
        <w:rPr>
          <w:lang w:val="vi-VN" w:bidi="vi-VN"/>
        </w:rPr>
        <w:t>Ma trận Phê duyệt, Ủy quyền và Trách nhiệm của THR</w:t>
      </w:r>
    </w:p>
    <w:p w14:paraId="03B98459" w14:textId="77777777" w:rsidR="00DB49D8" w:rsidRPr="00031FAE" w:rsidRDefault="001C2B1C" w:rsidP="001C30FA">
      <w:pPr>
        <w:pStyle w:val="Heading2"/>
        <w:rPr>
          <w:lang w:val="fr-FR"/>
        </w:rPr>
      </w:pPr>
      <w:r w:rsidRPr="005F1901">
        <w:rPr>
          <w:lang w:val="vi-VN" w:bidi="vi-VN"/>
        </w:rPr>
        <w:t>Chính sách mới nhất về Thu Tiền đặt cọc trước</w:t>
      </w:r>
    </w:p>
    <w:p w14:paraId="03B9845A" w14:textId="77777777" w:rsidR="00DB49D8" w:rsidRPr="00031FAE" w:rsidRDefault="001C2B1C" w:rsidP="001C30FA">
      <w:pPr>
        <w:pStyle w:val="Heading2"/>
        <w:rPr>
          <w:lang w:val="fr-FR"/>
        </w:rPr>
      </w:pPr>
      <w:r w:rsidRPr="005F1901">
        <w:rPr>
          <w:lang w:val="vi-VN" w:bidi="vi-VN"/>
        </w:rPr>
        <w:t>Các Khoản đồng chi trả và Đồng bảo hiểm Cung cấp Định giá Khấu trừ cho Người không được bảo hiểm</w:t>
      </w:r>
    </w:p>
    <w:p w14:paraId="03B9845B" w14:textId="77777777" w:rsidR="00DB49D8" w:rsidRPr="00031FAE" w:rsidRDefault="0063094F" w:rsidP="001C30FA">
      <w:pPr>
        <w:pStyle w:val="Heading2"/>
        <w:rPr>
          <w:lang w:val="fr-FR"/>
        </w:rPr>
      </w:pPr>
      <w:r w:rsidRPr="005F1901">
        <w:rPr>
          <w:lang w:val="vi-VN" w:bidi="vi-VN"/>
        </w:rPr>
        <w:t>Tài liệu đính kèm A – Tiêu chuẩn về tình trạng hợp lệ</w:t>
      </w:r>
    </w:p>
    <w:p w14:paraId="03B9845C" w14:textId="77777777" w:rsidR="00DB49D8" w:rsidRPr="00031FAE" w:rsidRDefault="00BA0991" w:rsidP="001C30FA">
      <w:pPr>
        <w:pStyle w:val="Heading2"/>
        <w:rPr>
          <w:lang w:val="fr-FR"/>
        </w:rPr>
      </w:pPr>
      <w:r w:rsidRPr="005F1901">
        <w:rPr>
          <w:lang w:val="vi-VN" w:bidi="vi-VN"/>
        </w:rPr>
        <w:t>Tài liệu đính kèm B – Bảng phân loại Nghèo về mặt tài chính, Nghèo về mặt y tế, Nghèo thê thảm</w:t>
      </w:r>
    </w:p>
    <w:p w14:paraId="03B9845D" w14:textId="77777777" w:rsidR="00DB49D8" w:rsidRPr="00031FAE" w:rsidRDefault="00BB1BC8" w:rsidP="001C30FA">
      <w:pPr>
        <w:pStyle w:val="Heading2"/>
        <w:rPr>
          <w:lang w:val="fr-FR"/>
        </w:rPr>
      </w:pPr>
      <w:r w:rsidRPr="005F1901">
        <w:rPr>
          <w:lang w:val="vi-VN" w:bidi="vi-VN"/>
        </w:rPr>
        <w:t>Tài liệu đính kèm C – Danh sách các Đối tượng Được bao trả &amp; Các Nhà cung cấp/Dịch vụ Không được Bao trả</w:t>
      </w:r>
    </w:p>
    <w:p w14:paraId="03B9845E" w14:textId="77777777" w:rsidR="004B089A" w:rsidRPr="00031FAE" w:rsidRDefault="00BA0991" w:rsidP="001C30FA">
      <w:pPr>
        <w:pStyle w:val="Heading2"/>
        <w:rPr>
          <w:lang w:val="fr-FR"/>
        </w:rPr>
      </w:pPr>
      <w:r w:rsidRPr="005F1901">
        <w:rPr>
          <w:lang w:val="vi-VN" w:bidi="vi-VN"/>
        </w:rPr>
        <w:t>Tài liệu đính kèm D – Cách Tính Số tiền Thường được Lập hóa đơn (AGB)</w:t>
      </w:r>
    </w:p>
    <w:p w14:paraId="03B9845F" w14:textId="77777777" w:rsidR="00DB49D8" w:rsidRDefault="001C2B1C" w:rsidP="001C30FA">
      <w:pPr>
        <w:pStyle w:val="Heading1"/>
      </w:pPr>
      <w:r w:rsidRPr="005F1901">
        <w:rPr>
          <w:lang w:val="vi-VN" w:bidi="vi-VN"/>
        </w:rPr>
        <w:t>Báo cáo bắt buộc:</w:t>
      </w:r>
    </w:p>
    <w:p w14:paraId="03B98460" w14:textId="77777777" w:rsidR="001C2B1C" w:rsidRPr="005F1901" w:rsidRDefault="001C2B1C" w:rsidP="007A0AA8">
      <w:pPr>
        <w:pStyle w:val="Heading2"/>
        <w:numPr>
          <w:ilvl w:val="0"/>
          <w:numId w:val="0"/>
        </w:numPr>
        <w:ind w:left="720"/>
      </w:pPr>
      <w:r w:rsidRPr="005F1901">
        <w:rPr>
          <w:lang w:val="vi-VN" w:bidi="vi-VN"/>
        </w:rPr>
        <w:t>Không áp dụng</w:t>
      </w:r>
    </w:p>
    <w:p w14:paraId="03B98461" w14:textId="77777777" w:rsidR="001C30FA" w:rsidRDefault="001C30FA" w:rsidP="005F1901">
      <w:pPr>
        <w:sectPr w:rsidR="001C30FA" w:rsidSect="00BC793A">
          <w:headerReference w:type="default" r:id="rId11"/>
          <w:footerReference w:type="default" r:id="rId12"/>
          <w:headerReference w:type="first" r:id="rId13"/>
          <w:footerReference w:type="first" r:id="rId14"/>
          <w:pgSz w:w="12240" w:h="15840"/>
          <w:pgMar w:top="720" w:right="720" w:bottom="1440" w:left="720" w:header="720" w:footer="144" w:gutter="0"/>
          <w:cols w:space="720"/>
          <w:titlePg/>
          <w:docGrid w:linePitch="360"/>
        </w:sectPr>
      </w:pPr>
    </w:p>
    <w:p w14:paraId="03B98462" w14:textId="77777777" w:rsidR="001C2B1C" w:rsidRPr="00F11F63" w:rsidRDefault="0063094F" w:rsidP="00F11F63">
      <w:pPr>
        <w:pStyle w:val="Title"/>
      </w:pPr>
      <w:r w:rsidRPr="00F11F63">
        <w:rPr>
          <w:lang w:val="vi-VN" w:bidi="vi-VN"/>
        </w:rPr>
        <w:t>TÀI LIỆU ĐÍNH KÈM A</w:t>
      </w:r>
    </w:p>
    <w:p w14:paraId="03B98463" w14:textId="77777777" w:rsidR="00DB49D8" w:rsidRPr="00F11F63" w:rsidRDefault="001C2B1C" w:rsidP="00F11F63">
      <w:pPr>
        <w:pStyle w:val="Title"/>
      </w:pPr>
      <w:r w:rsidRPr="00F11F63">
        <w:rPr>
          <w:lang w:val="vi-VN" w:bidi="vi-VN"/>
        </w:rPr>
        <w:t>TIÊU CHUẨN VỀ TÌNH TRẠNG HỢP LỆ</w:t>
      </w:r>
    </w:p>
    <w:p w14:paraId="03B98464" w14:textId="77777777" w:rsidR="00DB49D8" w:rsidRPr="00031FAE" w:rsidRDefault="001C2B1C" w:rsidP="00F11F63">
      <w:pPr>
        <w:rPr>
          <w:lang w:val="vi-VN"/>
        </w:rPr>
      </w:pPr>
      <w:r w:rsidRPr="005F1901">
        <w:rPr>
          <w:lang w:val="vi-VN" w:bidi="vi-VN"/>
        </w:rPr>
        <w:t>Các tiêu chuẩn nêu trong tài liệu đính kèm này phải được áp dụng nhằm xác định xem bệnh nhân có hội đủ điều kiện để được chăm sóc miễn phí hay khấu trừ theo Chính sách Hỗ trợ Tài chính của Texas Health hay không. Điều chỉnh duy nhất liên quan đến các bệnh nhân đáp ứng các tiêu chuẩn được đề ra trong Tài liệu đính kèm A này sẽ được báo cáo là chăm sóc từ thiện trong báo cáo hoạt động của bệnh viện.</w:t>
      </w:r>
    </w:p>
    <w:p w14:paraId="03B98465" w14:textId="77777777" w:rsidR="004B089A" w:rsidRDefault="001C2B1C" w:rsidP="007A0AA8">
      <w:pPr>
        <w:pStyle w:val="ListParagraph3"/>
        <w:spacing w:before="240"/>
      </w:pPr>
      <w:r w:rsidRPr="00F11F63">
        <w:rPr>
          <w:lang w:val="vi-VN" w:bidi="vi-VN"/>
        </w:rPr>
        <w:t>Nghèo về mặt tài chính</w:t>
      </w:r>
    </w:p>
    <w:p w14:paraId="03B98466" w14:textId="77777777" w:rsidR="004B089A" w:rsidRPr="00031FAE" w:rsidRDefault="001C2B1C" w:rsidP="00F11F63">
      <w:pPr>
        <w:pStyle w:val="BodyText"/>
        <w:rPr>
          <w:lang w:val="vi-VN"/>
        </w:rPr>
      </w:pPr>
      <w:r w:rsidRPr="005F1901">
        <w:rPr>
          <w:lang w:val="vi-VN" w:bidi="vi-VN"/>
        </w:rPr>
        <w:t>Một bệnh nhân/người bảo lãnh có Thu nhập ước tính hàng năm từ 0% đến 200% theo hướng dẫn mức nghèo liên bang sẽ được phê duyệt nhận hỗ trợ tài chính miễn là bệnh nhân đó không có đủ tiền và tài sản tài chính để chi trả Dư nợ Bệnh nhân Hiện tại mà không phải chịu gánh nặng tài chính quá mức. Nói chung, một bệnh nhân Nghèo về mặt tài chính sẽ hội đủ điều kiện được khấu trừ từ tổng chi phí lập hóa đơn gộp một số tiền bằng Dư nợ Bệnh nhân Hiện tại vào thời điểm xác định tình trạng hợp lệ trong hóa đơn bệnh viện thấp hơn số tiền mà họ được cho là có thể chi trả (nếu có). Việc xác định tình trạng hợp lệ sẽ dựa trên Thu nhập Hàng năm, quy mô gia đình và nguồn lực tài chính. Trong bất cứ trường hợp nào, mọi khoản thanh toán trước đó của bệnh nhân cộng với Dư nợ Bệnh nhân Hiện tại sau khi áp dụng mọi khoản khấu trừ sẽ không vượt quá tỷ lệ % AGB trong tổng chi phí của Texas Health.</w:t>
      </w:r>
    </w:p>
    <w:p w14:paraId="03B98467" w14:textId="77777777" w:rsidR="00FF1D45" w:rsidRPr="00031FAE" w:rsidRDefault="00FF1D45" w:rsidP="007A0AA8">
      <w:pPr>
        <w:pStyle w:val="ListParagraph3"/>
        <w:spacing w:before="240"/>
        <w:rPr>
          <w:lang w:val="vi-VN"/>
        </w:rPr>
      </w:pPr>
      <w:r w:rsidRPr="005F1901">
        <w:rPr>
          <w:lang w:val="vi-VN" w:bidi="vi-VN"/>
        </w:rPr>
        <w:t>Phê duyệt Tài chính Tự động/Có cơ sở</w:t>
      </w:r>
    </w:p>
    <w:p w14:paraId="03B98468" w14:textId="77777777" w:rsidR="00DB49D8" w:rsidRPr="00031FAE" w:rsidRDefault="00FF1D45" w:rsidP="00F11F63">
      <w:pPr>
        <w:pStyle w:val="BodyText"/>
        <w:rPr>
          <w:lang w:val="vi-VN"/>
        </w:rPr>
      </w:pPr>
      <w:r w:rsidRPr="005F1901">
        <w:rPr>
          <w:lang w:val="vi-VN" w:bidi="vi-VN"/>
        </w:rPr>
        <w:t>Trong một số tình huống, Texas Health có thể xác định bệnh nhân đủ điều kiện nhận hỗ trợ tài chính theo chính sách này bằng cách xem xét và phân tích thông tin tài chính và các thông tin khác cung cấp bởi nhà cung cấp độc lập bên thứ ba chẳng hạn như Thu nhập ước tính hàng năm, quy mô gia đình và tình trạng việc làm. Trong các tình huống này, Đơn đăng ký nhận Hỗ trợ Tài chính chính thức là không cần thiết. Quy trình xem xét và phân tích các dữ liệu sẵn có của Texas Health sẽ được hoàn tất trong vòng 30 ngày sau khi trách nhiệm pháp lý của bệnh nhân đã được xác định. Nếu Texas Health không thể xác định bệnh nhân đủ điều kiện nhận hỗ trợ tài chính thông qua quy trình xem xét này và Đơn đăng ký nhận Hỗ trợ Tài chính của Texas Health chưa được nộp thì các hoạt động thu nợ sẽ bắt đầu theo quy trình thu nợ thông thường của Texas Health. Mọi ECA sẽ không bắt đầu trước 130 ngày sau khi trách nhiệm pháp lý của bệnh nhân đã được xác định.</w:t>
      </w:r>
    </w:p>
    <w:p w14:paraId="03B98469" w14:textId="77777777" w:rsidR="004B089A" w:rsidRDefault="001C2B1C" w:rsidP="007A0AA8">
      <w:pPr>
        <w:pStyle w:val="ListParagraph3"/>
        <w:spacing w:before="240"/>
      </w:pPr>
      <w:r w:rsidRPr="003D6086">
        <w:rPr>
          <w:lang w:val="vi-VN" w:bidi="vi-VN"/>
        </w:rPr>
        <w:t>Nghèo về mặt y tế</w:t>
      </w:r>
    </w:p>
    <w:p w14:paraId="03B9846A" w14:textId="77777777" w:rsidR="00DB49D8" w:rsidRPr="00031FAE" w:rsidRDefault="009022C3" w:rsidP="00F11F63">
      <w:pPr>
        <w:pStyle w:val="BodyText"/>
        <w:rPr>
          <w:lang w:val="vi-VN"/>
        </w:rPr>
      </w:pPr>
      <w:r w:rsidRPr="005F1901">
        <w:rPr>
          <w:lang w:val="vi-VN" w:bidi="vi-VN"/>
        </w:rPr>
        <w:t>Bệnh nhân Nghèo về mặt y tế là người có thu nhập hàng năm từ 201% – 500% Mức Thu nhập theo Chuẩn nghèo Liên bang và hóa đơn bệnh viện chưa thanh toán của Texas Health (sau khi đã trừ các khoản thanh toán của tất cả các bên thứ ba) vượt quá 5% Thu nhập Hàng năm của họ và họ không thể trả Số Dư nợ Bệnh nhân Hiện tại chưa thanh toán. Những bệnh nhân Nghèo về mặt y tế này hội đủ điều kiện được khấu trừ như nêu rõ trong Tài liệu đính kèm B. Tuy nhiên, trong bất cứ trường hợp nào, mọi khoản thanh toán trước của bệnh nhân cộng với Dư nợ Bệnh nhân Hiện tại sau khi áp dụng mọi khoản khấu trừ cũng sẽ không vượt quá tỷ lệ % AGB trong tổng chi phí của Texas Health. Xem Tài liệu đính kèm B để có bảng hoàn chỉnh.</w:t>
      </w:r>
    </w:p>
    <w:p w14:paraId="03B9846B" w14:textId="77777777" w:rsidR="00F11F63" w:rsidRPr="00031FAE" w:rsidRDefault="000532B0" w:rsidP="003D6086">
      <w:pPr>
        <w:pStyle w:val="ListParagraph3"/>
        <w:rPr>
          <w:lang w:val="vi-VN"/>
        </w:rPr>
      </w:pPr>
      <w:r w:rsidRPr="005F1901">
        <w:rPr>
          <w:lang w:val="vi-VN" w:bidi="vi-VN"/>
        </w:rPr>
        <w:t>Nghèo thê thảm về mặt y tế</w:t>
      </w:r>
    </w:p>
    <w:p w14:paraId="03B9846C" w14:textId="77777777" w:rsidR="004B089A" w:rsidRPr="00031FAE" w:rsidRDefault="008078BB" w:rsidP="00F11F63">
      <w:pPr>
        <w:pStyle w:val="BodyText"/>
        <w:rPr>
          <w:lang w:val="vi-VN"/>
        </w:rPr>
      </w:pPr>
      <w:r w:rsidRPr="005F1901">
        <w:rPr>
          <w:lang w:val="vi-VN" w:bidi="vi-VN"/>
        </w:rPr>
        <w:t>Bệnh nhân có Dư nợ Bệnh nhân Hiện tại chưa thanh toán sau khi đã trừ các khoản thanh toán của tất cả các bên thứ ba vượt quá 20% tổng Thu nhập Hàng năm được báo cáo và họ không thể trả Số Dư nợ Bệnh nhân Hiện tại. Những bệnh nhân Nghèo thê thảm về mặt y tế này hội đủ điều kiện được khấu trừ từ 75% – 95%. Tuy nhiên, trong bất cứ trường hợp nào, Dư nợ Bệnh nhân Hiện tại sau khi áp dụng khấu trừ cũng sẽ không vượt quá tỷ lệ % AGB trong tổng chi phí của Texas Health.</w:t>
      </w:r>
    </w:p>
    <w:p w14:paraId="03B9846D" w14:textId="77777777" w:rsidR="00DB49D8" w:rsidRPr="00031FAE" w:rsidRDefault="000532B0" w:rsidP="003D6086">
      <w:pPr>
        <w:pStyle w:val="ListParagraph3"/>
        <w:rPr>
          <w:lang w:val="vi-VN"/>
        </w:rPr>
      </w:pPr>
      <w:r w:rsidRPr="005F1901">
        <w:rPr>
          <w:lang w:val="vi-VN" w:bidi="vi-VN"/>
        </w:rPr>
        <w:t>Nghèo về mặt y tế Có cơ sở (Tổng chi phí Được lập hóa đơn Vượt quá 75.000 USD)</w:t>
      </w:r>
    </w:p>
    <w:p w14:paraId="03B9846E" w14:textId="77777777" w:rsidR="004B089A" w:rsidRPr="00031FAE" w:rsidRDefault="0018766F" w:rsidP="00F11F63">
      <w:pPr>
        <w:pStyle w:val="BodyText"/>
        <w:rPr>
          <w:lang w:val="vi-VN"/>
        </w:rPr>
      </w:pPr>
      <w:r w:rsidRPr="005F1901">
        <w:rPr>
          <w:lang w:val="vi-VN" w:bidi="vi-VN"/>
        </w:rPr>
        <w:t>Trong trường hợp bệnh nhân có hóa đơn bệnh viện của Texas Health cho thấy chi phí vượt quá 75.000 USD, tài khoản này có thể hội đủ điều kiện nhận hỗ trợ tài chính có cơ sở mà không cần gửi Đơn đăng ký nhận Hỗ trợ Tài chính hoàn tất miễn là có đủ thông tin để xác định bệnh nhân có đủ điều kiện hay không. Thông tin này có thể bao gồm dữ liệu tài chính thu được từ bên thứ ba. Trong trường hợp này, trách nhiệm tối thiểu của bệnh nhân sẽ là 15% phần trách nhiệm của bệnh nhân. Tuy nhiên, trong bất cứ trường hợp nào, các khoản thanh toán của bệnh nhân cũng sẽ không vượt quá tỷ lệ % AGB trong tổng chi phí của Texas Health.</w:t>
      </w:r>
    </w:p>
    <w:p w14:paraId="03B9846F" w14:textId="77777777" w:rsidR="004B089A" w:rsidRDefault="00F920ED" w:rsidP="003D6086">
      <w:pPr>
        <w:pStyle w:val="ListParagraph3"/>
      </w:pPr>
      <w:r w:rsidRPr="005F1901">
        <w:rPr>
          <w:lang w:val="vi-VN" w:bidi="vi-VN"/>
        </w:rPr>
        <w:t>Hỗ trợ Tài chính</w:t>
      </w:r>
    </w:p>
    <w:p w14:paraId="03B98470" w14:textId="77777777" w:rsidR="00DB49D8" w:rsidRPr="00031FAE" w:rsidRDefault="001C2B1C" w:rsidP="00F11F63">
      <w:pPr>
        <w:pStyle w:val="BodyText"/>
        <w:rPr>
          <w:lang w:val="vi-VN"/>
        </w:rPr>
      </w:pPr>
      <w:r w:rsidRPr="005F1901">
        <w:rPr>
          <w:lang w:val="vi-VN" w:bidi="vi-VN"/>
        </w:rPr>
        <w:t>Tất cả các bệnh nhân tìm kiếm hỗ trợ theo Chính sách Hỗ trợ Tài chính của Texas Health được khuyến khích hoàn tất Đơn đăng ký nhận Hỗ trợ Tài chính. Bệnh nhân có hóa đơn bệnh viện cho thấy tổng chi phí là 75.000 USD hoặc thấp hơn không thể được phân loại là Nghèo về mặt y tế trừ phi Texas Health nhận được Đơn đăng ký nhận Hỗ trợ Tài chính hoàn tất cùng với các tài liệu được mà Texas Health yêu cầu để xác minh thu nhập, tài sản và các khoản chi phí y tế được báo cáo trong trường hợp đó.</w:t>
      </w:r>
    </w:p>
    <w:p w14:paraId="03B98471" w14:textId="77777777" w:rsidR="00DB49D8" w:rsidRPr="00031FAE" w:rsidRDefault="001C2B1C" w:rsidP="003D6086">
      <w:pPr>
        <w:pStyle w:val="ListParagraph3"/>
        <w:rPr>
          <w:lang w:val="vi-VN"/>
        </w:rPr>
      </w:pPr>
      <w:r w:rsidRPr="005F1901">
        <w:rPr>
          <w:lang w:val="vi-VN" w:bidi="vi-VN"/>
        </w:rPr>
        <w:t>Xác định Tình trạng Tài chính</w:t>
      </w:r>
    </w:p>
    <w:p w14:paraId="03B98472" w14:textId="77777777" w:rsidR="004B089A" w:rsidRPr="00031FAE" w:rsidRDefault="001C2B1C" w:rsidP="00F11F63">
      <w:pPr>
        <w:pStyle w:val="BodyText"/>
        <w:rPr>
          <w:lang w:val="vi-VN"/>
        </w:rPr>
      </w:pPr>
      <w:r w:rsidRPr="005F1901">
        <w:rPr>
          <w:lang w:val="vi-VN" w:bidi="vi-VN"/>
        </w:rPr>
        <w:t>Quyết định rằng một bệnh nhân không có đủ tiền, vì lý do nghèo cả về mặt tài chính lẫn y tế, phải được đưa ra vào thời điểm mà tài khoản của bệnh nhân được xem xét và sẽ được dựa trên tình trạng việc làm, tình trạng tài chính và gia đình hiện tại của bệnh nhân. Vì các mục đích của chính sách này, tài sản sẽ bao gồm tiền mặt, chứng khoán, trái phiếu và các tài sản tài chính khác mà vốn có thể dễ dàng đổi sang tiền mặt. Nói chung, tài sản cố định và khả năng đầu cơ để tạo ra thu nhập trong tương lai của bệnh nhân/người bảo lãnh sẽ không được xem xét trong việc xác định hiện có đủ tiền để thanh toán cho các hóa đơn y tế hiện tại hay không.</w:t>
      </w:r>
    </w:p>
    <w:p w14:paraId="03B98473" w14:textId="77777777" w:rsidR="004B089A" w:rsidRDefault="0018766F" w:rsidP="003D6086">
      <w:pPr>
        <w:pStyle w:val="ListParagraph3"/>
      </w:pPr>
      <w:r w:rsidRPr="005F1901">
        <w:rPr>
          <w:lang w:val="vi-VN" w:bidi="vi-VN"/>
        </w:rPr>
        <w:t>Đơn đăng ký lại</w:t>
      </w:r>
    </w:p>
    <w:p w14:paraId="03B98474" w14:textId="77777777" w:rsidR="00DB49D8" w:rsidRDefault="00234B61" w:rsidP="00F11F63">
      <w:pPr>
        <w:pStyle w:val="BodyText"/>
      </w:pPr>
      <w:r w:rsidRPr="005F1901">
        <w:rPr>
          <w:lang w:val="vi-VN" w:bidi="vi-VN"/>
        </w:rPr>
        <w:t>Nếu nhận được các dịch vụ bổ sung trong vòng 90 ngày kể từ ngày phê duyệt Đơn đăng ký nhận Hỗ trợ Tài chính và yêu cầu hỗ trợ tài chính bổ sung, bệnh nhân không cần hoàn tất Đơn đăng ký nhận Hỗ trợ Tài chính khác trừ phi các dữ kiện và hoàn cảnh cho thấy có thể đã có thay đổi đáng kể về tình trạng tài chính và/hoặc khả năng thanh toán của người nộp đơn.</w:t>
      </w:r>
    </w:p>
    <w:p w14:paraId="03B98475" w14:textId="77777777" w:rsidR="00DB49D8" w:rsidRDefault="000F5EFA" w:rsidP="003D6086">
      <w:pPr>
        <w:pStyle w:val="ListParagraph3"/>
      </w:pPr>
      <w:r w:rsidRPr="005F1901">
        <w:rPr>
          <w:lang w:val="vi-VN" w:bidi="vi-VN"/>
        </w:rPr>
        <w:t>Hỗ trợ Tài chính Không khẩn cấp</w:t>
      </w:r>
    </w:p>
    <w:p w14:paraId="03B98476" w14:textId="77777777" w:rsidR="00DB49D8" w:rsidRPr="00031FAE" w:rsidRDefault="001C6A0B" w:rsidP="00F11F63">
      <w:pPr>
        <w:pStyle w:val="BodyText"/>
        <w:rPr>
          <w:lang w:val="vi-VN"/>
        </w:rPr>
      </w:pPr>
      <w:r w:rsidRPr="005F1901">
        <w:rPr>
          <w:lang w:val="vi-VN" w:bidi="vi-VN"/>
        </w:rPr>
        <w:t>Hỗ trợ tài chính theo Chính sách Hỗ trợ Tài chính của Texas Health có thể được cung cấp cho các bệnh nhân có tình trạng khẩn cấp hoặc không khẩn cấp. Chính sách Hỗ trợ Tài chính của Texas Health dành ưu tiên cho các bệnh nhân có tình trạng y tế khẩn cấp. Trong quá trình xem xét đơn đăng ký nhận hỗ trợ tài chính cho dịch vụ chăm sóc không khẩn cấp, Texas Health sẽ cân nhắc tính sẵn có của các nguồn lực khác trong cộng đồng đáp ứng nhu cầu của người nộp đơn, khả năng của các bệnh viện Texas Health trong việc cung cấp dịch vụ chăm sóc liên tục phù hợp và tác động của yêu cầu cụ thể đó đối với khả năng của Texas Health trong việc cung cấp dịch vụ chăm sóc rộng rãi trong cộng đồng mà chúng tôi phục vụ.</w:t>
      </w:r>
    </w:p>
    <w:p w14:paraId="03B98477" w14:textId="77777777" w:rsidR="00DB49D8" w:rsidRPr="00031FAE" w:rsidRDefault="001C2B1C" w:rsidP="003D6086">
      <w:pPr>
        <w:pStyle w:val="ListParagraph3"/>
        <w:rPr>
          <w:lang w:val="vi-VN"/>
        </w:rPr>
      </w:pPr>
      <w:r w:rsidRPr="005F1901">
        <w:rPr>
          <w:lang w:val="vi-VN" w:bidi="vi-VN"/>
        </w:rPr>
        <w:t>Sự hợp tác của Bệnh nhân</w:t>
      </w:r>
    </w:p>
    <w:p w14:paraId="03B98478" w14:textId="77777777" w:rsidR="00DB49D8" w:rsidRPr="00031FAE" w:rsidRDefault="001C2B1C" w:rsidP="00F11F63">
      <w:pPr>
        <w:pStyle w:val="BodyText"/>
        <w:rPr>
          <w:lang w:val="vi-VN"/>
        </w:rPr>
      </w:pPr>
      <w:r w:rsidRPr="005F1901">
        <w:rPr>
          <w:lang w:val="vi-VN" w:bidi="vi-VN"/>
        </w:rPr>
        <w:t>Bệnh nhân có trách nhiệm tích cực tham gia quy trình sàng lọc hỗ trợ tài chính của bệnh viện, cho phép Texas Health (nếu cần thiết) tiếp cận thông tin sẵn có của bên thứ ba và cung cấp thông tin yêu cầu một cách kịp thời, bao gồm nhưng không giới hạn ở việc cung cấp cho bệnh viện những thông tin liên quan đến phạm vi bảo hiểm phúc lợi y tế thực tế hoặc có thể có sẵn (bao gồm bảo hiểm COBRA có sẵn), tình trạng tài chính (tức là thu nhập, tài sản tài chính) và mọi thông tin khác cần thiết để Texas Health đưa ra quyết định về tình trạng hợp lệ tài chính và được bảo hiểm của bệnh nhân. Bệnh nhân không hợp tác có thể khiến họ bị từ chối hỗ trợ tài chính.</w:t>
      </w:r>
    </w:p>
    <w:p w14:paraId="03B98479" w14:textId="77777777" w:rsidR="004B089A" w:rsidRPr="00031FAE" w:rsidRDefault="00AF08D4" w:rsidP="00F11F63">
      <w:pPr>
        <w:rPr>
          <w:lang w:val="vi-VN"/>
        </w:rPr>
      </w:pPr>
      <w:r w:rsidRPr="005F1901">
        <w:rPr>
          <w:lang w:val="vi-VN" w:bidi="vi-VN"/>
        </w:rPr>
        <w:t>Hỗ trợ tài chính là một tùy chọn để giải quyết việc thanh toán Dư nợ Bệnh nhân Hiện tại. Nếu tiền nợ được thu từ tài khoản của bệnh nhân trước khi phê duyệt hỗ trợ tài chính thì khoản tiền này sẽ không được trả lại cho bệnh nhân trừ phi các khoản thanh toán vượt quá tỷ lệ % AGB của Texas Health.</w:t>
      </w:r>
    </w:p>
    <w:p w14:paraId="03B9847A" w14:textId="77777777" w:rsidR="00F11F63" w:rsidRPr="00031FAE" w:rsidRDefault="00F11F63" w:rsidP="005F1901">
      <w:pPr>
        <w:rPr>
          <w:lang w:val="vi-VN"/>
        </w:rPr>
        <w:sectPr w:rsidR="00F11F63" w:rsidRPr="00031FAE" w:rsidSect="00AC46A6">
          <w:pgSz w:w="12240" w:h="15840"/>
          <w:pgMar w:top="720" w:right="720" w:bottom="1440" w:left="720" w:header="720" w:footer="720" w:gutter="0"/>
          <w:cols w:space="720"/>
          <w:docGrid w:linePitch="360"/>
        </w:sectPr>
      </w:pPr>
    </w:p>
    <w:p w14:paraId="03B9847B" w14:textId="77777777" w:rsidR="00DB49D8" w:rsidRPr="007A0AA8" w:rsidRDefault="00C410D8" w:rsidP="00F11F63">
      <w:pPr>
        <w:pStyle w:val="Title"/>
        <w:rPr>
          <w:b w:val="0"/>
          <w:lang w:val="vi-VN"/>
        </w:rPr>
      </w:pPr>
      <w:r w:rsidRPr="007A0AA8">
        <w:rPr>
          <w:b w:val="0"/>
          <w:lang w:val="vi-VN" w:bidi="vi-VN"/>
        </w:rPr>
        <w:t>Tài liệu đính kèm B – Nghèo về mặt tài chính, Nghèo về mặt y tế và Nghèo thê thảm</w:t>
      </w:r>
    </w:p>
    <w:p w14:paraId="03B9847C" w14:textId="77777777" w:rsidR="00C410D8" w:rsidRPr="00031FAE" w:rsidRDefault="00C410D8" w:rsidP="007A0AA8">
      <w:pPr>
        <w:spacing w:before="120" w:after="120"/>
        <w:rPr>
          <w:lang w:val="vi-VN"/>
        </w:rPr>
      </w:pPr>
      <w:r w:rsidRPr="005F1901">
        <w:rPr>
          <w:lang w:val="vi-VN" w:bidi="vi-VN"/>
        </w:rPr>
        <w:t>Dựa trên Hướng dẫn Mức nghèo của Liên bang ban hành ngày 1/22/2015</w:t>
      </w: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14"/>
        <w:gridCol w:w="1078"/>
        <w:gridCol w:w="250"/>
        <w:gridCol w:w="1510"/>
        <w:gridCol w:w="1420"/>
        <w:gridCol w:w="1426"/>
        <w:gridCol w:w="1426"/>
        <w:gridCol w:w="1426"/>
        <w:gridCol w:w="1427"/>
      </w:tblGrid>
      <w:tr w:rsidR="00C410D8" w:rsidRPr="00D9466F" w14:paraId="03B98481" w14:textId="77777777" w:rsidTr="007A0AA8">
        <w:trPr>
          <w:trHeight w:val="589"/>
          <w:jc w:val="center"/>
        </w:trPr>
        <w:tc>
          <w:tcPr>
            <w:tcW w:w="2392" w:type="dxa"/>
            <w:gridSpan w:val="2"/>
            <w:shd w:val="clear" w:color="auto" w:fill="auto"/>
            <w:vAlign w:val="center"/>
          </w:tcPr>
          <w:p w14:paraId="03B9847D" w14:textId="77777777" w:rsidR="00C410D8" w:rsidRPr="007A0AA8" w:rsidRDefault="00C410D8" w:rsidP="007A0AA8">
            <w:pPr>
              <w:pStyle w:val="NoSpacing"/>
              <w:jc w:val="center"/>
              <w:rPr>
                <w:sz w:val="18"/>
                <w:szCs w:val="18"/>
                <w:lang w:val="vi-VN"/>
              </w:rPr>
            </w:pPr>
            <w:r w:rsidRPr="007A0AA8">
              <w:rPr>
                <w:sz w:val="18"/>
                <w:szCs w:val="18"/>
                <w:lang w:val="vi-VN" w:bidi="vi-VN"/>
              </w:rPr>
              <w:t>Phân loại Nghèo về mặt tài chính</w:t>
            </w:r>
          </w:p>
        </w:tc>
        <w:tc>
          <w:tcPr>
            <w:tcW w:w="250" w:type="dxa"/>
            <w:tcBorders>
              <w:top w:val="nil"/>
              <w:bottom w:val="nil"/>
            </w:tcBorders>
            <w:shd w:val="clear" w:color="auto" w:fill="auto"/>
            <w:vAlign w:val="center"/>
          </w:tcPr>
          <w:p w14:paraId="03B9847E" w14:textId="77777777" w:rsidR="00C410D8" w:rsidRPr="007A0AA8" w:rsidRDefault="00C410D8" w:rsidP="007A0AA8">
            <w:pPr>
              <w:pStyle w:val="NoSpacing"/>
              <w:jc w:val="center"/>
              <w:rPr>
                <w:sz w:val="18"/>
                <w:szCs w:val="18"/>
                <w:lang w:val="vi-VN"/>
              </w:rPr>
            </w:pPr>
          </w:p>
        </w:tc>
        <w:tc>
          <w:tcPr>
            <w:tcW w:w="8635" w:type="dxa"/>
            <w:gridSpan w:val="6"/>
            <w:shd w:val="clear" w:color="auto" w:fill="auto"/>
            <w:noWrap/>
            <w:vAlign w:val="center"/>
          </w:tcPr>
          <w:p w14:paraId="03B9847F" w14:textId="77777777" w:rsidR="004B089A" w:rsidRPr="007A0AA8" w:rsidRDefault="00C410D8" w:rsidP="007A0AA8">
            <w:pPr>
              <w:pStyle w:val="NoSpacing"/>
              <w:jc w:val="center"/>
              <w:rPr>
                <w:sz w:val="18"/>
                <w:szCs w:val="18"/>
                <w:lang w:val="vi-VN"/>
              </w:rPr>
            </w:pPr>
            <w:r w:rsidRPr="007A0AA8">
              <w:rPr>
                <w:sz w:val="18"/>
                <w:szCs w:val="18"/>
                <w:lang w:val="vi-VN" w:bidi="vi-VN"/>
              </w:rPr>
              <w:t>Phân loại Nghèo về mặt y tế</w:t>
            </w:r>
          </w:p>
          <w:p w14:paraId="03B98480" w14:textId="77777777" w:rsidR="00C410D8" w:rsidRPr="007A0AA8" w:rsidRDefault="00C410D8" w:rsidP="007A0AA8">
            <w:pPr>
              <w:pStyle w:val="NoSpacing"/>
              <w:jc w:val="center"/>
              <w:rPr>
                <w:sz w:val="18"/>
                <w:szCs w:val="18"/>
                <w:lang w:val="vi-VN"/>
              </w:rPr>
            </w:pPr>
            <w:r w:rsidRPr="007A0AA8">
              <w:rPr>
                <w:sz w:val="18"/>
                <w:szCs w:val="18"/>
                <w:lang w:val="vi-VN" w:bidi="vi-VN"/>
              </w:rPr>
              <w:t>Dư nợ phải bằng hoặc lớn hơn tỷ lệ % cụ thể Thu nhập Hàng năm của bệnh nhân để hội đủ điều kiện</w:t>
            </w:r>
          </w:p>
        </w:tc>
      </w:tr>
      <w:tr w:rsidR="00C410D8" w:rsidRPr="007A0AA8" w14:paraId="03B9848B" w14:textId="77777777" w:rsidTr="007A0AA8">
        <w:trPr>
          <w:trHeight w:val="307"/>
          <w:jc w:val="center"/>
        </w:trPr>
        <w:tc>
          <w:tcPr>
            <w:tcW w:w="1314" w:type="dxa"/>
            <w:vMerge w:val="restart"/>
            <w:shd w:val="clear" w:color="auto" w:fill="auto"/>
            <w:vAlign w:val="center"/>
          </w:tcPr>
          <w:p w14:paraId="03B98482" w14:textId="77777777" w:rsidR="00C410D8" w:rsidRPr="007A0AA8" w:rsidRDefault="00C410D8" w:rsidP="007A0AA8">
            <w:pPr>
              <w:pStyle w:val="NoSpacing"/>
              <w:jc w:val="center"/>
              <w:rPr>
                <w:sz w:val="18"/>
                <w:szCs w:val="18"/>
              </w:rPr>
            </w:pPr>
            <w:r w:rsidRPr="007A0AA8">
              <w:rPr>
                <w:sz w:val="18"/>
                <w:szCs w:val="18"/>
                <w:lang w:val="vi-VN" w:bidi="vi-VN"/>
              </w:rPr>
              <w:t>Số người trong Hộ gia đình</w:t>
            </w:r>
          </w:p>
        </w:tc>
        <w:tc>
          <w:tcPr>
            <w:tcW w:w="1078" w:type="dxa"/>
            <w:vMerge w:val="restart"/>
            <w:shd w:val="clear" w:color="auto" w:fill="auto"/>
            <w:vAlign w:val="center"/>
          </w:tcPr>
          <w:p w14:paraId="03B98483" w14:textId="77777777" w:rsidR="00C410D8" w:rsidRPr="007A0AA8" w:rsidRDefault="00C410D8" w:rsidP="007A0AA8">
            <w:pPr>
              <w:pStyle w:val="NoSpacing"/>
              <w:jc w:val="center"/>
              <w:rPr>
                <w:sz w:val="18"/>
                <w:szCs w:val="18"/>
              </w:rPr>
            </w:pPr>
            <w:r w:rsidRPr="007A0AA8">
              <w:rPr>
                <w:sz w:val="18"/>
                <w:szCs w:val="18"/>
                <w:lang w:val="vi-VN" w:bidi="vi-VN"/>
              </w:rPr>
              <w:t>200%</w:t>
            </w:r>
          </w:p>
        </w:tc>
        <w:tc>
          <w:tcPr>
            <w:tcW w:w="250" w:type="dxa"/>
            <w:tcBorders>
              <w:top w:val="nil"/>
              <w:bottom w:val="nil"/>
            </w:tcBorders>
            <w:shd w:val="clear" w:color="auto" w:fill="auto"/>
            <w:vAlign w:val="center"/>
          </w:tcPr>
          <w:p w14:paraId="03B98484" w14:textId="77777777" w:rsidR="00C410D8" w:rsidRPr="007A0AA8" w:rsidRDefault="00C410D8" w:rsidP="007A0AA8">
            <w:pPr>
              <w:pStyle w:val="NoSpacing"/>
              <w:jc w:val="center"/>
              <w:rPr>
                <w:sz w:val="18"/>
                <w:szCs w:val="18"/>
              </w:rPr>
            </w:pPr>
          </w:p>
        </w:tc>
        <w:tc>
          <w:tcPr>
            <w:tcW w:w="1510" w:type="dxa"/>
            <w:shd w:val="clear" w:color="auto" w:fill="auto"/>
            <w:noWrap/>
            <w:vAlign w:val="center"/>
          </w:tcPr>
          <w:p w14:paraId="03B98485" w14:textId="77777777" w:rsidR="00C410D8" w:rsidRPr="007A0AA8" w:rsidRDefault="00C410D8" w:rsidP="007A0AA8">
            <w:pPr>
              <w:pStyle w:val="NoSpacing"/>
              <w:jc w:val="center"/>
              <w:rPr>
                <w:sz w:val="18"/>
                <w:szCs w:val="18"/>
              </w:rPr>
            </w:pPr>
            <w:r w:rsidRPr="007A0AA8">
              <w:rPr>
                <w:sz w:val="18"/>
                <w:szCs w:val="18"/>
                <w:lang w:val="vi-VN" w:bidi="vi-VN"/>
              </w:rPr>
              <w:t>% cụ thể</w:t>
            </w:r>
          </w:p>
        </w:tc>
        <w:tc>
          <w:tcPr>
            <w:tcW w:w="1420" w:type="dxa"/>
            <w:shd w:val="clear" w:color="auto" w:fill="auto"/>
            <w:noWrap/>
            <w:vAlign w:val="center"/>
          </w:tcPr>
          <w:p w14:paraId="03B98486" w14:textId="77777777" w:rsidR="00C410D8" w:rsidRPr="007A0AA8" w:rsidRDefault="000532B0" w:rsidP="007A0AA8">
            <w:pPr>
              <w:pStyle w:val="NoSpacing"/>
              <w:jc w:val="center"/>
              <w:rPr>
                <w:sz w:val="18"/>
                <w:szCs w:val="18"/>
              </w:rPr>
            </w:pPr>
            <w:r w:rsidRPr="007A0AA8">
              <w:rPr>
                <w:sz w:val="18"/>
                <w:szCs w:val="18"/>
                <w:lang w:val="vi-VN" w:bidi="vi-VN"/>
              </w:rPr>
              <w:t>&gt; 5%</w:t>
            </w:r>
          </w:p>
        </w:tc>
        <w:tc>
          <w:tcPr>
            <w:tcW w:w="1426" w:type="dxa"/>
            <w:shd w:val="clear" w:color="auto" w:fill="auto"/>
            <w:noWrap/>
            <w:vAlign w:val="center"/>
          </w:tcPr>
          <w:p w14:paraId="03B98487" w14:textId="77777777" w:rsidR="00C410D8" w:rsidRPr="007A0AA8" w:rsidRDefault="000532B0" w:rsidP="007A0AA8">
            <w:pPr>
              <w:pStyle w:val="NoSpacing"/>
              <w:jc w:val="center"/>
              <w:rPr>
                <w:sz w:val="18"/>
                <w:szCs w:val="18"/>
              </w:rPr>
            </w:pPr>
            <w:r w:rsidRPr="007A0AA8">
              <w:rPr>
                <w:sz w:val="18"/>
                <w:szCs w:val="18"/>
                <w:lang w:val="vi-VN" w:bidi="vi-VN"/>
              </w:rPr>
              <w:t>&gt; 5%</w:t>
            </w:r>
          </w:p>
        </w:tc>
        <w:tc>
          <w:tcPr>
            <w:tcW w:w="1426" w:type="dxa"/>
            <w:shd w:val="clear" w:color="auto" w:fill="auto"/>
            <w:noWrap/>
            <w:vAlign w:val="center"/>
          </w:tcPr>
          <w:p w14:paraId="03B98488" w14:textId="77777777" w:rsidR="00C410D8" w:rsidRPr="007A0AA8" w:rsidRDefault="000532B0" w:rsidP="007A0AA8">
            <w:pPr>
              <w:pStyle w:val="NoSpacing"/>
              <w:jc w:val="center"/>
              <w:rPr>
                <w:sz w:val="18"/>
                <w:szCs w:val="18"/>
              </w:rPr>
            </w:pPr>
            <w:r w:rsidRPr="007A0AA8">
              <w:rPr>
                <w:sz w:val="18"/>
                <w:szCs w:val="18"/>
                <w:lang w:val="vi-VN" w:bidi="vi-VN"/>
              </w:rPr>
              <w:t>&gt; 5%</w:t>
            </w:r>
          </w:p>
        </w:tc>
        <w:tc>
          <w:tcPr>
            <w:tcW w:w="1426" w:type="dxa"/>
            <w:shd w:val="clear" w:color="auto" w:fill="auto"/>
            <w:noWrap/>
            <w:vAlign w:val="center"/>
          </w:tcPr>
          <w:p w14:paraId="03B98489" w14:textId="77777777" w:rsidR="00C410D8" w:rsidRPr="007A0AA8" w:rsidRDefault="000532B0" w:rsidP="007A0AA8">
            <w:pPr>
              <w:pStyle w:val="NoSpacing"/>
              <w:jc w:val="center"/>
              <w:rPr>
                <w:sz w:val="18"/>
                <w:szCs w:val="18"/>
              </w:rPr>
            </w:pPr>
            <w:r w:rsidRPr="007A0AA8">
              <w:rPr>
                <w:sz w:val="18"/>
                <w:szCs w:val="18"/>
                <w:lang w:val="vi-VN" w:bidi="vi-VN"/>
              </w:rPr>
              <w:t>&gt; 10%</w:t>
            </w:r>
          </w:p>
        </w:tc>
        <w:tc>
          <w:tcPr>
            <w:tcW w:w="1427" w:type="dxa"/>
            <w:shd w:val="clear" w:color="auto" w:fill="auto"/>
            <w:noWrap/>
            <w:vAlign w:val="center"/>
          </w:tcPr>
          <w:p w14:paraId="03B9848A" w14:textId="77777777" w:rsidR="00C410D8" w:rsidRPr="007A0AA8" w:rsidRDefault="000532B0" w:rsidP="007A0AA8">
            <w:pPr>
              <w:pStyle w:val="NoSpacing"/>
              <w:jc w:val="center"/>
              <w:rPr>
                <w:sz w:val="18"/>
                <w:szCs w:val="18"/>
              </w:rPr>
            </w:pPr>
            <w:r w:rsidRPr="007A0AA8">
              <w:rPr>
                <w:sz w:val="18"/>
                <w:szCs w:val="18"/>
                <w:lang w:val="vi-VN" w:bidi="vi-VN"/>
              </w:rPr>
              <w:t>&gt; 10%</w:t>
            </w:r>
          </w:p>
        </w:tc>
      </w:tr>
      <w:tr w:rsidR="00C410D8" w:rsidRPr="007A0AA8" w14:paraId="03B98495" w14:textId="77777777" w:rsidTr="007A0AA8">
        <w:trPr>
          <w:trHeight w:val="589"/>
          <w:jc w:val="center"/>
        </w:trPr>
        <w:tc>
          <w:tcPr>
            <w:tcW w:w="1314" w:type="dxa"/>
            <w:vMerge/>
            <w:shd w:val="clear" w:color="auto" w:fill="auto"/>
            <w:vAlign w:val="center"/>
          </w:tcPr>
          <w:p w14:paraId="03B9848C" w14:textId="77777777" w:rsidR="00C410D8" w:rsidRPr="007A0AA8" w:rsidRDefault="00C410D8" w:rsidP="007A0AA8">
            <w:pPr>
              <w:pStyle w:val="NoSpacing"/>
              <w:jc w:val="center"/>
              <w:rPr>
                <w:sz w:val="18"/>
                <w:szCs w:val="18"/>
              </w:rPr>
            </w:pPr>
          </w:p>
        </w:tc>
        <w:tc>
          <w:tcPr>
            <w:tcW w:w="1078" w:type="dxa"/>
            <w:vMerge/>
            <w:shd w:val="clear" w:color="auto" w:fill="auto"/>
            <w:vAlign w:val="center"/>
          </w:tcPr>
          <w:p w14:paraId="03B9848D" w14:textId="77777777" w:rsidR="00C410D8" w:rsidRPr="007A0AA8" w:rsidRDefault="00C410D8" w:rsidP="007A0AA8">
            <w:pPr>
              <w:pStyle w:val="NoSpacing"/>
              <w:jc w:val="center"/>
              <w:rPr>
                <w:sz w:val="18"/>
                <w:szCs w:val="18"/>
              </w:rPr>
            </w:pPr>
          </w:p>
        </w:tc>
        <w:tc>
          <w:tcPr>
            <w:tcW w:w="250" w:type="dxa"/>
            <w:tcBorders>
              <w:top w:val="nil"/>
              <w:bottom w:val="nil"/>
            </w:tcBorders>
            <w:shd w:val="clear" w:color="auto" w:fill="auto"/>
            <w:vAlign w:val="center"/>
          </w:tcPr>
          <w:p w14:paraId="03B9848E" w14:textId="77777777" w:rsidR="00C410D8" w:rsidRPr="007A0AA8" w:rsidRDefault="00C410D8" w:rsidP="007A0AA8">
            <w:pPr>
              <w:pStyle w:val="NoSpacing"/>
              <w:jc w:val="center"/>
              <w:rPr>
                <w:sz w:val="18"/>
                <w:szCs w:val="18"/>
              </w:rPr>
            </w:pPr>
          </w:p>
        </w:tc>
        <w:tc>
          <w:tcPr>
            <w:tcW w:w="1510" w:type="dxa"/>
            <w:shd w:val="clear" w:color="auto" w:fill="auto"/>
            <w:noWrap/>
            <w:vAlign w:val="center"/>
            <w:hideMark/>
          </w:tcPr>
          <w:p w14:paraId="03B9848F" w14:textId="77777777" w:rsidR="00C410D8" w:rsidRPr="007A0AA8" w:rsidRDefault="00C410D8" w:rsidP="007A0AA8">
            <w:pPr>
              <w:pStyle w:val="NoSpacing"/>
              <w:jc w:val="center"/>
              <w:rPr>
                <w:sz w:val="18"/>
                <w:szCs w:val="18"/>
              </w:rPr>
            </w:pPr>
            <w:r w:rsidRPr="007A0AA8">
              <w:rPr>
                <w:sz w:val="18"/>
                <w:szCs w:val="18"/>
                <w:lang w:val="vi-VN" w:bidi="vi-VN"/>
              </w:rPr>
              <w:t>Số người trong Hộ gia đình</w:t>
            </w:r>
          </w:p>
        </w:tc>
        <w:tc>
          <w:tcPr>
            <w:tcW w:w="1420" w:type="dxa"/>
            <w:shd w:val="clear" w:color="auto" w:fill="auto"/>
            <w:noWrap/>
            <w:vAlign w:val="center"/>
            <w:hideMark/>
          </w:tcPr>
          <w:p w14:paraId="03B98490" w14:textId="77777777" w:rsidR="00C410D8" w:rsidRPr="007A0AA8" w:rsidRDefault="00C410D8" w:rsidP="007A0AA8">
            <w:pPr>
              <w:pStyle w:val="NoSpacing"/>
              <w:jc w:val="center"/>
              <w:rPr>
                <w:sz w:val="18"/>
                <w:szCs w:val="18"/>
              </w:rPr>
            </w:pPr>
            <w:r w:rsidRPr="007A0AA8">
              <w:rPr>
                <w:sz w:val="18"/>
                <w:szCs w:val="18"/>
                <w:lang w:val="vi-VN" w:bidi="vi-VN"/>
              </w:rPr>
              <w:t>201 – 250%</w:t>
            </w:r>
          </w:p>
        </w:tc>
        <w:tc>
          <w:tcPr>
            <w:tcW w:w="1426" w:type="dxa"/>
            <w:shd w:val="clear" w:color="auto" w:fill="auto"/>
            <w:noWrap/>
            <w:vAlign w:val="center"/>
            <w:hideMark/>
          </w:tcPr>
          <w:p w14:paraId="03B98491" w14:textId="77777777" w:rsidR="00C410D8" w:rsidRPr="007A0AA8" w:rsidRDefault="00C410D8" w:rsidP="007A0AA8">
            <w:pPr>
              <w:pStyle w:val="NoSpacing"/>
              <w:jc w:val="center"/>
              <w:rPr>
                <w:sz w:val="18"/>
                <w:szCs w:val="18"/>
              </w:rPr>
            </w:pPr>
            <w:r w:rsidRPr="007A0AA8">
              <w:rPr>
                <w:sz w:val="18"/>
                <w:szCs w:val="18"/>
                <w:lang w:val="vi-VN" w:bidi="vi-VN"/>
              </w:rPr>
              <w:t>251 – 300%</w:t>
            </w:r>
          </w:p>
        </w:tc>
        <w:tc>
          <w:tcPr>
            <w:tcW w:w="1426" w:type="dxa"/>
            <w:shd w:val="clear" w:color="auto" w:fill="auto"/>
            <w:noWrap/>
            <w:vAlign w:val="center"/>
            <w:hideMark/>
          </w:tcPr>
          <w:p w14:paraId="03B98492" w14:textId="77777777" w:rsidR="00C410D8" w:rsidRPr="007A0AA8" w:rsidRDefault="00C410D8" w:rsidP="007A0AA8">
            <w:pPr>
              <w:pStyle w:val="NoSpacing"/>
              <w:jc w:val="center"/>
              <w:rPr>
                <w:sz w:val="18"/>
                <w:szCs w:val="18"/>
              </w:rPr>
            </w:pPr>
            <w:r w:rsidRPr="007A0AA8">
              <w:rPr>
                <w:sz w:val="18"/>
                <w:szCs w:val="18"/>
                <w:lang w:val="vi-VN" w:bidi="vi-VN"/>
              </w:rPr>
              <w:t>301 – 350%</w:t>
            </w:r>
          </w:p>
        </w:tc>
        <w:tc>
          <w:tcPr>
            <w:tcW w:w="1426" w:type="dxa"/>
            <w:shd w:val="clear" w:color="auto" w:fill="auto"/>
            <w:noWrap/>
            <w:vAlign w:val="center"/>
            <w:hideMark/>
          </w:tcPr>
          <w:p w14:paraId="03B98493" w14:textId="77777777" w:rsidR="00C410D8" w:rsidRPr="007A0AA8" w:rsidRDefault="00C410D8" w:rsidP="007A0AA8">
            <w:pPr>
              <w:pStyle w:val="NoSpacing"/>
              <w:jc w:val="center"/>
              <w:rPr>
                <w:sz w:val="18"/>
                <w:szCs w:val="18"/>
              </w:rPr>
            </w:pPr>
            <w:r w:rsidRPr="007A0AA8">
              <w:rPr>
                <w:sz w:val="18"/>
                <w:szCs w:val="18"/>
                <w:lang w:val="vi-VN" w:bidi="vi-VN"/>
              </w:rPr>
              <w:t>351 – 400%</w:t>
            </w:r>
          </w:p>
        </w:tc>
        <w:tc>
          <w:tcPr>
            <w:tcW w:w="1427" w:type="dxa"/>
            <w:shd w:val="clear" w:color="auto" w:fill="auto"/>
            <w:noWrap/>
            <w:vAlign w:val="center"/>
            <w:hideMark/>
          </w:tcPr>
          <w:p w14:paraId="03B98494" w14:textId="77777777" w:rsidR="00C410D8" w:rsidRPr="007A0AA8" w:rsidRDefault="00C410D8" w:rsidP="007A0AA8">
            <w:pPr>
              <w:pStyle w:val="NoSpacing"/>
              <w:jc w:val="center"/>
              <w:rPr>
                <w:sz w:val="18"/>
                <w:szCs w:val="18"/>
              </w:rPr>
            </w:pPr>
            <w:r w:rsidRPr="007A0AA8">
              <w:rPr>
                <w:sz w:val="18"/>
                <w:szCs w:val="18"/>
                <w:lang w:val="vi-VN" w:bidi="vi-VN"/>
              </w:rPr>
              <w:t>401 – 500%</w:t>
            </w:r>
          </w:p>
        </w:tc>
      </w:tr>
      <w:tr w:rsidR="00C410D8" w:rsidRPr="007A0AA8" w14:paraId="03B9849F" w14:textId="77777777" w:rsidTr="007A0AA8">
        <w:trPr>
          <w:trHeight w:val="285"/>
          <w:jc w:val="center"/>
        </w:trPr>
        <w:tc>
          <w:tcPr>
            <w:tcW w:w="1314" w:type="dxa"/>
            <w:shd w:val="clear" w:color="auto" w:fill="auto"/>
            <w:vAlign w:val="center"/>
          </w:tcPr>
          <w:p w14:paraId="03B98496" w14:textId="77777777" w:rsidR="00C410D8" w:rsidRPr="007A0AA8" w:rsidRDefault="00C410D8" w:rsidP="007A0AA8">
            <w:pPr>
              <w:pStyle w:val="NoSpacing"/>
              <w:jc w:val="center"/>
              <w:rPr>
                <w:sz w:val="18"/>
                <w:szCs w:val="18"/>
              </w:rPr>
            </w:pPr>
            <w:r w:rsidRPr="007A0AA8">
              <w:rPr>
                <w:sz w:val="18"/>
                <w:szCs w:val="18"/>
                <w:lang w:val="vi-VN" w:bidi="vi-VN"/>
              </w:rPr>
              <w:t>1</w:t>
            </w:r>
          </w:p>
        </w:tc>
        <w:tc>
          <w:tcPr>
            <w:tcW w:w="1078" w:type="dxa"/>
            <w:shd w:val="clear" w:color="auto" w:fill="auto"/>
            <w:vAlign w:val="center"/>
          </w:tcPr>
          <w:p w14:paraId="03B98497" w14:textId="77777777" w:rsidR="00C410D8" w:rsidRPr="007A0AA8" w:rsidRDefault="00C410D8" w:rsidP="007A0AA8">
            <w:pPr>
              <w:pStyle w:val="NoSpacing"/>
              <w:jc w:val="center"/>
              <w:rPr>
                <w:sz w:val="18"/>
                <w:szCs w:val="18"/>
              </w:rPr>
            </w:pPr>
            <w:r w:rsidRPr="007A0AA8">
              <w:rPr>
                <w:sz w:val="18"/>
                <w:szCs w:val="18"/>
                <w:lang w:val="vi-VN" w:bidi="vi-VN"/>
              </w:rPr>
              <w:t>23.540 USD</w:t>
            </w:r>
          </w:p>
        </w:tc>
        <w:tc>
          <w:tcPr>
            <w:tcW w:w="250" w:type="dxa"/>
            <w:tcBorders>
              <w:top w:val="nil"/>
              <w:bottom w:val="nil"/>
            </w:tcBorders>
            <w:shd w:val="clear" w:color="auto" w:fill="auto"/>
            <w:vAlign w:val="center"/>
          </w:tcPr>
          <w:p w14:paraId="03B98498" w14:textId="77777777" w:rsidR="00C410D8" w:rsidRPr="007A0AA8" w:rsidRDefault="00C410D8" w:rsidP="007A0AA8">
            <w:pPr>
              <w:pStyle w:val="NoSpacing"/>
              <w:jc w:val="center"/>
              <w:rPr>
                <w:sz w:val="18"/>
                <w:szCs w:val="18"/>
              </w:rPr>
            </w:pPr>
          </w:p>
        </w:tc>
        <w:tc>
          <w:tcPr>
            <w:tcW w:w="1510" w:type="dxa"/>
            <w:shd w:val="clear" w:color="auto" w:fill="auto"/>
            <w:noWrap/>
            <w:vAlign w:val="center"/>
            <w:hideMark/>
          </w:tcPr>
          <w:p w14:paraId="03B98499" w14:textId="77777777" w:rsidR="00C410D8" w:rsidRPr="007A0AA8" w:rsidRDefault="00C410D8" w:rsidP="007A0AA8">
            <w:pPr>
              <w:pStyle w:val="NoSpacing"/>
              <w:jc w:val="center"/>
              <w:rPr>
                <w:sz w:val="18"/>
                <w:szCs w:val="18"/>
              </w:rPr>
            </w:pPr>
            <w:r w:rsidRPr="007A0AA8">
              <w:rPr>
                <w:sz w:val="18"/>
                <w:szCs w:val="18"/>
                <w:lang w:val="vi-VN" w:bidi="vi-VN"/>
              </w:rPr>
              <w:t>1</w:t>
            </w:r>
          </w:p>
        </w:tc>
        <w:tc>
          <w:tcPr>
            <w:tcW w:w="1420" w:type="dxa"/>
            <w:shd w:val="clear" w:color="auto" w:fill="auto"/>
            <w:noWrap/>
            <w:vAlign w:val="center"/>
            <w:hideMark/>
          </w:tcPr>
          <w:p w14:paraId="03B9849A" w14:textId="77777777" w:rsidR="00C410D8" w:rsidRPr="007A0AA8" w:rsidRDefault="00C410D8" w:rsidP="007A0AA8">
            <w:pPr>
              <w:pStyle w:val="NoSpacing"/>
              <w:jc w:val="center"/>
              <w:rPr>
                <w:sz w:val="18"/>
                <w:szCs w:val="18"/>
              </w:rPr>
            </w:pPr>
            <w:r w:rsidRPr="007A0AA8">
              <w:rPr>
                <w:sz w:val="18"/>
                <w:szCs w:val="18"/>
                <w:lang w:val="vi-VN" w:bidi="vi-VN"/>
              </w:rPr>
              <w:t>23.541 USD – 29.425 USD</w:t>
            </w:r>
          </w:p>
        </w:tc>
        <w:tc>
          <w:tcPr>
            <w:tcW w:w="1426" w:type="dxa"/>
            <w:shd w:val="clear" w:color="auto" w:fill="auto"/>
            <w:noWrap/>
            <w:vAlign w:val="center"/>
            <w:hideMark/>
          </w:tcPr>
          <w:p w14:paraId="03B9849B" w14:textId="77777777" w:rsidR="00C410D8" w:rsidRPr="007A0AA8" w:rsidRDefault="00C410D8" w:rsidP="007A0AA8">
            <w:pPr>
              <w:pStyle w:val="NoSpacing"/>
              <w:jc w:val="center"/>
              <w:rPr>
                <w:sz w:val="18"/>
                <w:szCs w:val="18"/>
              </w:rPr>
            </w:pPr>
            <w:r w:rsidRPr="007A0AA8">
              <w:rPr>
                <w:sz w:val="18"/>
                <w:szCs w:val="18"/>
                <w:lang w:val="vi-VN" w:bidi="vi-VN"/>
              </w:rPr>
              <w:t>29.426 USD – 35.310 USD</w:t>
            </w:r>
          </w:p>
        </w:tc>
        <w:tc>
          <w:tcPr>
            <w:tcW w:w="1426" w:type="dxa"/>
            <w:shd w:val="clear" w:color="auto" w:fill="auto"/>
            <w:noWrap/>
            <w:vAlign w:val="center"/>
            <w:hideMark/>
          </w:tcPr>
          <w:p w14:paraId="03B9849C" w14:textId="77777777" w:rsidR="00C410D8" w:rsidRPr="007A0AA8" w:rsidRDefault="00C410D8" w:rsidP="007A0AA8">
            <w:pPr>
              <w:pStyle w:val="NoSpacing"/>
              <w:jc w:val="center"/>
              <w:rPr>
                <w:sz w:val="18"/>
                <w:szCs w:val="18"/>
              </w:rPr>
            </w:pPr>
            <w:r w:rsidRPr="007A0AA8">
              <w:rPr>
                <w:sz w:val="18"/>
                <w:szCs w:val="18"/>
                <w:lang w:val="vi-VN" w:bidi="vi-VN"/>
              </w:rPr>
              <w:t>35.311 USD – 41.195 USD</w:t>
            </w:r>
          </w:p>
        </w:tc>
        <w:tc>
          <w:tcPr>
            <w:tcW w:w="1426" w:type="dxa"/>
            <w:shd w:val="clear" w:color="auto" w:fill="auto"/>
            <w:noWrap/>
            <w:vAlign w:val="center"/>
            <w:hideMark/>
          </w:tcPr>
          <w:p w14:paraId="03B9849D" w14:textId="77777777" w:rsidR="00C410D8" w:rsidRPr="007A0AA8" w:rsidRDefault="00C410D8" w:rsidP="007A0AA8">
            <w:pPr>
              <w:pStyle w:val="NoSpacing"/>
              <w:jc w:val="center"/>
              <w:rPr>
                <w:sz w:val="18"/>
                <w:szCs w:val="18"/>
              </w:rPr>
            </w:pPr>
            <w:r w:rsidRPr="007A0AA8">
              <w:rPr>
                <w:sz w:val="18"/>
                <w:szCs w:val="18"/>
                <w:lang w:val="vi-VN" w:bidi="vi-VN"/>
              </w:rPr>
              <w:t>41.196 USD – 47.080 USD</w:t>
            </w:r>
          </w:p>
        </w:tc>
        <w:tc>
          <w:tcPr>
            <w:tcW w:w="1427" w:type="dxa"/>
            <w:shd w:val="clear" w:color="auto" w:fill="auto"/>
            <w:noWrap/>
            <w:vAlign w:val="center"/>
            <w:hideMark/>
          </w:tcPr>
          <w:p w14:paraId="03B9849E" w14:textId="77777777" w:rsidR="00C410D8" w:rsidRPr="007A0AA8" w:rsidRDefault="00C410D8" w:rsidP="007A0AA8">
            <w:pPr>
              <w:pStyle w:val="NoSpacing"/>
              <w:jc w:val="center"/>
              <w:rPr>
                <w:sz w:val="18"/>
                <w:szCs w:val="18"/>
              </w:rPr>
            </w:pPr>
            <w:r w:rsidRPr="007A0AA8">
              <w:rPr>
                <w:sz w:val="18"/>
                <w:szCs w:val="18"/>
                <w:lang w:val="vi-VN" w:bidi="vi-VN"/>
              </w:rPr>
              <w:t>47.081 USD – 58.350 USD</w:t>
            </w:r>
          </w:p>
        </w:tc>
      </w:tr>
      <w:tr w:rsidR="00C410D8" w:rsidRPr="007A0AA8" w14:paraId="03B984A9" w14:textId="77777777" w:rsidTr="007A0AA8">
        <w:trPr>
          <w:trHeight w:val="285"/>
          <w:jc w:val="center"/>
        </w:trPr>
        <w:tc>
          <w:tcPr>
            <w:tcW w:w="1314" w:type="dxa"/>
            <w:shd w:val="clear" w:color="auto" w:fill="auto"/>
            <w:vAlign w:val="center"/>
          </w:tcPr>
          <w:p w14:paraId="03B984A0" w14:textId="77777777" w:rsidR="00C410D8" w:rsidRPr="007A0AA8" w:rsidRDefault="00C410D8" w:rsidP="007A0AA8">
            <w:pPr>
              <w:pStyle w:val="NoSpacing"/>
              <w:jc w:val="center"/>
              <w:rPr>
                <w:sz w:val="18"/>
                <w:szCs w:val="18"/>
              </w:rPr>
            </w:pPr>
            <w:r w:rsidRPr="007A0AA8">
              <w:rPr>
                <w:sz w:val="18"/>
                <w:szCs w:val="18"/>
                <w:lang w:val="vi-VN" w:bidi="vi-VN"/>
              </w:rPr>
              <w:t>2</w:t>
            </w:r>
          </w:p>
        </w:tc>
        <w:tc>
          <w:tcPr>
            <w:tcW w:w="1078" w:type="dxa"/>
            <w:shd w:val="clear" w:color="auto" w:fill="auto"/>
            <w:vAlign w:val="center"/>
          </w:tcPr>
          <w:p w14:paraId="03B984A1" w14:textId="77777777" w:rsidR="00C410D8" w:rsidRPr="007A0AA8" w:rsidRDefault="00C410D8" w:rsidP="007A0AA8">
            <w:pPr>
              <w:pStyle w:val="NoSpacing"/>
              <w:jc w:val="center"/>
              <w:rPr>
                <w:sz w:val="18"/>
                <w:szCs w:val="18"/>
              </w:rPr>
            </w:pPr>
            <w:r w:rsidRPr="007A0AA8">
              <w:rPr>
                <w:sz w:val="18"/>
                <w:szCs w:val="18"/>
                <w:lang w:val="vi-VN" w:bidi="vi-VN"/>
              </w:rPr>
              <w:t>31.960 USD</w:t>
            </w:r>
          </w:p>
        </w:tc>
        <w:tc>
          <w:tcPr>
            <w:tcW w:w="250" w:type="dxa"/>
            <w:tcBorders>
              <w:top w:val="nil"/>
              <w:bottom w:val="nil"/>
            </w:tcBorders>
            <w:shd w:val="clear" w:color="auto" w:fill="auto"/>
            <w:vAlign w:val="center"/>
          </w:tcPr>
          <w:p w14:paraId="03B984A2" w14:textId="77777777" w:rsidR="00C410D8" w:rsidRPr="007A0AA8" w:rsidRDefault="00C410D8" w:rsidP="007A0AA8">
            <w:pPr>
              <w:pStyle w:val="NoSpacing"/>
              <w:jc w:val="center"/>
              <w:rPr>
                <w:sz w:val="18"/>
                <w:szCs w:val="18"/>
              </w:rPr>
            </w:pPr>
          </w:p>
        </w:tc>
        <w:tc>
          <w:tcPr>
            <w:tcW w:w="1510" w:type="dxa"/>
            <w:shd w:val="clear" w:color="auto" w:fill="auto"/>
            <w:noWrap/>
            <w:vAlign w:val="center"/>
            <w:hideMark/>
          </w:tcPr>
          <w:p w14:paraId="03B984A3" w14:textId="77777777" w:rsidR="00C410D8" w:rsidRPr="007A0AA8" w:rsidRDefault="00C410D8" w:rsidP="007A0AA8">
            <w:pPr>
              <w:pStyle w:val="NoSpacing"/>
              <w:jc w:val="center"/>
              <w:rPr>
                <w:sz w:val="18"/>
                <w:szCs w:val="18"/>
              </w:rPr>
            </w:pPr>
            <w:r w:rsidRPr="007A0AA8">
              <w:rPr>
                <w:sz w:val="18"/>
                <w:szCs w:val="18"/>
                <w:lang w:val="vi-VN" w:bidi="vi-VN"/>
              </w:rPr>
              <w:t>2</w:t>
            </w:r>
          </w:p>
        </w:tc>
        <w:tc>
          <w:tcPr>
            <w:tcW w:w="1420" w:type="dxa"/>
            <w:shd w:val="clear" w:color="auto" w:fill="auto"/>
            <w:noWrap/>
            <w:vAlign w:val="center"/>
            <w:hideMark/>
          </w:tcPr>
          <w:p w14:paraId="03B984A4" w14:textId="77777777" w:rsidR="00C410D8" w:rsidRPr="007A0AA8" w:rsidRDefault="00C410D8" w:rsidP="007A0AA8">
            <w:pPr>
              <w:pStyle w:val="NoSpacing"/>
              <w:jc w:val="center"/>
              <w:rPr>
                <w:sz w:val="18"/>
                <w:szCs w:val="18"/>
              </w:rPr>
            </w:pPr>
            <w:r w:rsidRPr="007A0AA8">
              <w:rPr>
                <w:sz w:val="18"/>
                <w:szCs w:val="18"/>
                <w:lang w:val="vi-VN" w:bidi="vi-VN"/>
              </w:rPr>
              <w:t>31.861 USD – 39.825 USD</w:t>
            </w:r>
          </w:p>
        </w:tc>
        <w:tc>
          <w:tcPr>
            <w:tcW w:w="1426" w:type="dxa"/>
            <w:shd w:val="clear" w:color="auto" w:fill="auto"/>
            <w:noWrap/>
            <w:vAlign w:val="center"/>
            <w:hideMark/>
          </w:tcPr>
          <w:p w14:paraId="03B984A5" w14:textId="77777777" w:rsidR="00C410D8" w:rsidRPr="007A0AA8" w:rsidRDefault="00C410D8" w:rsidP="007A0AA8">
            <w:pPr>
              <w:pStyle w:val="NoSpacing"/>
              <w:jc w:val="center"/>
              <w:rPr>
                <w:sz w:val="18"/>
                <w:szCs w:val="18"/>
              </w:rPr>
            </w:pPr>
            <w:r w:rsidRPr="007A0AA8">
              <w:rPr>
                <w:sz w:val="18"/>
                <w:szCs w:val="18"/>
                <w:lang w:val="vi-VN" w:bidi="vi-VN"/>
              </w:rPr>
              <w:t>39.826 USD – 47.790 USD</w:t>
            </w:r>
          </w:p>
        </w:tc>
        <w:tc>
          <w:tcPr>
            <w:tcW w:w="1426" w:type="dxa"/>
            <w:shd w:val="clear" w:color="auto" w:fill="auto"/>
            <w:noWrap/>
            <w:vAlign w:val="center"/>
            <w:hideMark/>
          </w:tcPr>
          <w:p w14:paraId="03B984A6" w14:textId="77777777" w:rsidR="00C410D8" w:rsidRPr="007A0AA8" w:rsidRDefault="00C410D8" w:rsidP="007A0AA8">
            <w:pPr>
              <w:pStyle w:val="NoSpacing"/>
              <w:jc w:val="center"/>
              <w:rPr>
                <w:sz w:val="18"/>
                <w:szCs w:val="18"/>
              </w:rPr>
            </w:pPr>
            <w:r w:rsidRPr="007A0AA8">
              <w:rPr>
                <w:sz w:val="18"/>
                <w:szCs w:val="18"/>
                <w:lang w:val="vi-VN" w:bidi="vi-VN"/>
              </w:rPr>
              <w:t>47.791 USD – 55.755 USD</w:t>
            </w:r>
          </w:p>
        </w:tc>
        <w:tc>
          <w:tcPr>
            <w:tcW w:w="1426" w:type="dxa"/>
            <w:shd w:val="clear" w:color="auto" w:fill="auto"/>
            <w:noWrap/>
            <w:vAlign w:val="center"/>
            <w:hideMark/>
          </w:tcPr>
          <w:p w14:paraId="03B984A7" w14:textId="77777777" w:rsidR="00C410D8" w:rsidRPr="007A0AA8" w:rsidRDefault="00C410D8" w:rsidP="007A0AA8">
            <w:pPr>
              <w:pStyle w:val="NoSpacing"/>
              <w:jc w:val="center"/>
              <w:rPr>
                <w:sz w:val="18"/>
                <w:szCs w:val="18"/>
              </w:rPr>
            </w:pPr>
            <w:r w:rsidRPr="007A0AA8">
              <w:rPr>
                <w:sz w:val="18"/>
                <w:szCs w:val="18"/>
                <w:lang w:val="vi-VN" w:bidi="vi-VN"/>
              </w:rPr>
              <w:t>55.756 USD – 63.720 USD</w:t>
            </w:r>
          </w:p>
        </w:tc>
        <w:tc>
          <w:tcPr>
            <w:tcW w:w="1427" w:type="dxa"/>
            <w:shd w:val="clear" w:color="auto" w:fill="auto"/>
            <w:noWrap/>
            <w:vAlign w:val="center"/>
            <w:hideMark/>
          </w:tcPr>
          <w:p w14:paraId="03B984A8" w14:textId="77777777" w:rsidR="00C410D8" w:rsidRPr="007A0AA8" w:rsidRDefault="00C410D8" w:rsidP="007A0AA8">
            <w:pPr>
              <w:pStyle w:val="NoSpacing"/>
              <w:jc w:val="center"/>
              <w:rPr>
                <w:sz w:val="18"/>
                <w:szCs w:val="18"/>
              </w:rPr>
            </w:pPr>
            <w:r w:rsidRPr="007A0AA8">
              <w:rPr>
                <w:sz w:val="18"/>
                <w:szCs w:val="18"/>
                <w:lang w:val="vi-VN" w:bidi="vi-VN"/>
              </w:rPr>
              <w:t>63.721 USD – 79.650 USD</w:t>
            </w:r>
          </w:p>
        </w:tc>
      </w:tr>
      <w:tr w:rsidR="00C410D8" w:rsidRPr="007A0AA8" w14:paraId="03B984B3" w14:textId="77777777" w:rsidTr="007A0AA8">
        <w:trPr>
          <w:trHeight w:val="285"/>
          <w:jc w:val="center"/>
        </w:trPr>
        <w:tc>
          <w:tcPr>
            <w:tcW w:w="1314" w:type="dxa"/>
            <w:shd w:val="clear" w:color="auto" w:fill="auto"/>
            <w:vAlign w:val="center"/>
          </w:tcPr>
          <w:p w14:paraId="03B984AA" w14:textId="77777777" w:rsidR="00C410D8" w:rsidRPr="007A0AA8" w:rsidRDefault="00C410D8" w:rsidP="007A0AA8">
            <w:pPr>
              <w:pStyle w:val="NoSpacing"/>
              <w:jc w:val="center"/>
              <w:rPr>
                <w:sz w:val="18"/>
                <w:szCs w:val="18"/>
              </w:rPr>
            </w:pPr>
            <w:r w:rsidRPr="007A0AA8">
              <w:rPr>
                <w:sz w:val="18"/>
                <w:szCs w:val="18"/>
                <w:lang w:val="vi-VN" w:bidi="vi-VN"/>
              </w:rPr>
              <w:t>3</w:t>
            </w:r>
          </w:p>
        </w:tc>
        <w:tc>
          <w:tcPr>
            <w:tcW w:w="1078" w:type="dxa"/>
            <w:shd w:val="clear" w:color="auto" w:fill="auto"/>
            <w:vAlign w:val="center"/>
          </w:tcPr>
          <w:p w14:paraId="03B984AB" w14:textId="77777777" w:rsidR="00C410D8" w:rsidRPr="007A0AA8" w:rsidRDefault="00C410D8" w:rsidP="007A0AA8">
            <w:pPr>
              <w:pStyle w:val="NoSpacing"/>
              <w:jc w:val="center"/>
              <w:rPr>
                <w:sz w:val="18"/>
                <w:szCs w:val="18"/>
              </w:rPr>
            </w:pPr>
            <w:r w:rsidRPr="007A0AA8">
              <w:rPr>
                <w:sz w:val="18"/>
                <w:szCs w:val="18"/>
                <w:lang w:val="vi-VN" w:bidi="vi-VN"/>
              </w:rPr>
              <w:t>40.180 USD</w:t>
            </w:r>
          </w:p>
        </w:tc>
        <w:tc>
          <w:tcPr>
            <w:tcW w:w="250" w:type="dxa"/>
            <w:tcBorders>
              <w:top w:val="nil"/>
              <w:bottom w:val="nil"/>
            </w:tcBorders>
            <w:shd w:val="clear" w:color="auto" w:fill="auto"/>
            <w:vAlign w:val="center"/>
          </w:tcPr>
          <w:p w14:paraId="03B984AC" w14:textId="77777777" w:rsidR="00C410D8" w:rsidRPr="007A0AA8" w:rsidRDefault="00C410D8" w:rsidP="007A0AA8">
            <w:pPr>
              <w:pStyle w:val="NoSpacing"/>
              <w:jc w:val="center"/>
              <w:rPr>
                <w:sz w:val="18"/>
                <w:szCs w:val="18"/>
              </w:rPr>
            </w:pPr>
          </w:p>
        </w:tc>
        <w:tc>
          <w:tcPr>
            <w:tcW w:w="1510" w:type="dxa"/>
            <w:shd w:val="clear" w:color="auto" w:fill="auto"/>
            <w:noWrap/>
            <w:vAlign w:val="center"/>
            <w:hideMark/>
          </w:tcPr>
          <w:p w14:paraId="03B984AD" w14:textId="77777777" w:rsidR="00C410D8" w:rsidRPr="007A0AA8" w:rsidRDefault="00C410D8" w:rsidP="007A0AA8">
            <w:pPr>
              <w:pStyle w:val="NoSpacing"/>
              <w:jc w:val="center"/>
              <w:rPr>
                <w:sz w:val="18"/>
                <w:szCs w:val="18"/>
              </w:rPr>
            </w:pPr>
            <w:r w:rsidRPr="007A0AA8">
              <w:rPr>
                <w:sz w:val="18"/>
                <w:szCs w:val="18"/>
                <w:lang w:val="vi-VN" w:bidi="vi-VN"/>
              </w:rPr>
              <w:t>3</w:t>
            </w:r>
          </w:p>
        </w:tc>
        <w:tc>
          <w:tcPr>
            <w:tcW w:w="1420" w:type="dxa"/>
            <w:shd w:val="clear" w:color="auto" w:fill="auto"/>
            <w:noWrap/>
            <w:vAlign w:val="center"/>
            <w:hideMark/>
          </w:tcPr>
          <w:p w14:paraId="03B984AE" w14:textId="77777777" w:rsidR="00C410D8" w:rsidRPr="007A0AA8" w:rsidRDefault="00C410D8" w:rsidP="007A0AA8">
            <w:pPr>
              <w:pStyle w:val="NoSpacing"/>
              <w:jc w:val="center"/>
              <w:rPr>
                <w:sz w:val="18"/>
                <w:szCs w:val="18"/>
              </w:rPr>
            </w:pPr>
            <w:r w:rsidRPr="007A0AA8">
              <w:rPr>
                <w:sz w:val="18"/>
                <w:szCs w:val="18"/>
                <w:lang w:val="vi-VN" w:bidi="vi-VN"/>
              </w:rPr>
              <w:t>40.181 USD – 50.225 USD</w:t>
            </w:r>
          </w:p>
        </w:tc>
        <w:tc>
          <w:tcPr>
            <w:tcW w:w="1426" w:type="dxa"/>
            <w:shd w:val="clear" w:color="auto" w:fill="auto"/>
            <w:noWrap/>
            <w:vAlign w:val="center"/>
            <w:hideMark/>
          </w:tcPr>
          <w:p w14:paraId="03B984AF" w14:textId="77777777" w:rsidR="00C410D8" w:rsidRPr="007A0AA8" w:rsidRDefault="00C410D8" w:rsidP="007A0AA8">
            <w:pPr>
              <w:pStyle w:val="NoSpacing"/>
              <w:jc w:val="center"/>
              <w:rPr>
                <w:sz w:val="18"/>
                <w:szCs w:val="18"/>
              </w:rPr>
            </w:pPr>
            <w:r w:rsidRPr="007A0AA8">
              <w:rPr>
                <w:sz w:val="18"/>
                <w:szCs w:val="18"/>
                <w:lang w:val="vi-VN" w:bidi="vi-VN"/>
              </w:rPr>
              <w:t>50.226 USD – 60.250 USD</w:t>
            </w:r>
          </w:p>
        </w:tc>
        <w:tc>
          <w:tcPr>
            <w:tcW w:w="1426" w:type="dxa"/>
            <w:shd w:val="clear" w:color="auto" w:fill="auto"/>
            <w:noWrap/>
            <w:vAlign w:val="center"/>
            <w:hideMark/>
          </w:tcPr>
          <w:p w14:paraId="03B984B0" w14:textId="77777777" w:rsidR="00C410D8" w:rsidRPr="007A0AA8" w:rsidRDefault="00C410D8" w:rsidP="007A0AA8">
            <w:pPr>
              <w:pStyle w:val="NoSpacing"/>
              <w:jc w:val="center"/>
              <w:rPr>
                <w:sz w:val="18"/>
                <w:szCs w:val="18"/>
              </w:rPr>
            </w:pPr>
            <w:r w:rsidRPr="007A0AA8">
              <w:rPr>
                <w:sz w:val="18"/>
                <w:szCs w:val="18"/>
                <w:lang w:val="vi-VN" w:bidi="vi-VN"/>
              </w:rPr>
              <w:t>60.271 USD – 70.315 USD</w:t>
            </w:r>
          </w:p>
        </w:tc>
        <w:tc>
          <w:tcPr>
            <w:tcW w:w="1426" w:type="dxa"/>
            <w:shd w:val="clear" w:color="auto" w:fill="auto"/>
            <w:noWrap/>
            <w:vAlign w:val="center"/>
            <w:hideMark/>
          </w:tcPr>
          <w:p w14:paraId="03B984B1" w14:textId="77777777" w:rsidR="00C410D8" w:rsidRPr="007A0AA8" w:rsidRDefault="00C410D8" w:rsidP="007A0AA8">
            <w:pPr>
              <w:pStyle w:val="NoSpacing"/>
              <w:jc w:val="center"/>
              <w:rPr>
                <w:sz w:val="18"/>
                <w:szCs w:val="18"/>
              </w:rPr>
            </w:pPr>
            <w:r w:rsidRPr="007A0AA8">
              <w:rPr>
                <w:sz w:val="18"/>
                <w:szCs w:val="18"/>
                <w:lang w:val="vi-VN" w:bidi="vi-VN"/>
              </w:rPr>
              <w:t>70.316 USD – 80.360 USD</w:t>
            </w:r>
          </w:p>
        </w:tc>
        <w:tc>
          <w:tcPr>
            <w:tcW w:w="1427" w:type="dxa"/>
            <w:shd w:val="clear" w:color="auto" w:fill="auto"/>
            <w:noWrap/>
            <w:vAlign w:val="center"/>
            <w:hideMark/>
          </w:tcPr>
          <w:p w14:paraId="03B984B2" w14:textId="77777777" w:rsidR="00C410D8" w:rsidRPr="007A0AA8" w:rsidRDefault="00C410D8" w:rsidP="007A0AA8">
            <w:pPr>
              <w:pStyle w:val="NoSpacing"/>
              <w:jc w:val="center"/>
              <w:rPr>
                <w:sz w:val="18"/>
                <w:szCs w:val="18"/>
              </w:rPr>
            </w:pPr>
            <w:r w:rsidRPr="007A0AA8">
              <w:rPr>
                <w:sz w:val="18"/>
                <w:szCs w:val="18"/>
                <w:lang w:val="vi-VN" w:bidi="vi-VN"/>
              </w:rPr>
              <w:t>80.361 USD – 100.450 USD</w:t>
            </w:r>
          </w:p>
        </w:tc>
      </w:tr>
      <w:tr w:rsidR="00C410D8" w:rsidRPr="007A0AA8" w14:paraId="03B984BD" w14:textId="77777777" w:rsidTr="007A0AA8">
        <w:trPr>
          <w:trHeight w:val="285"/>
          <w:jc w:val="center"/>
        </w:trPr>
        <w:tc>
          <w:tcPr>
            <w:tcW w:w="1314" w:type="dxa"/>
            <w:shd w:val="clear" w:color="auto" w:fill="auto"/>
            <w:vAlign w:val="center"/>
          </w:tcPr>
          <w:p w14:paraId="03B984B4" w14:textId="77777777" w:rsidR="00C410D8" w:rsidRPr="007A0AA8" w:rsidRDefault="00C410D8" w:rsidP="007A0AA8">
            <w:pPr>
              <w:pStyle w:val="NoSpacing"/>
              <w:jc w:val="center"/>
              <w:rPr>
                <w:sz w:val="18"/>
                <w:szCs w:val="18"/>
              </w:rPr>
            </w:pPr>
            <w:r w:rsidRPr="007A0AA8">
              <w:rPr>
                <w:sz w:val="18"/>
                <w:szCs w:val="18"/>
                <w:lang w:val="vi-VN" w:bidi="vi-VN"/>
              </w:rPr>
              <w:t>4</w:t>
            </w:r>
          </w:p>
        </w:tc>
        <w:tc>
          <w:tcPr>
            <w:tcW w:w="1078" w:type="dxa"/>
            <w:shd w:val="clear" w:color="auto" w:fill="auto"/>
            <w:vAlign w:val="center"/>
          </w:tcPr>
          <w:p w14:paraId="03B984B5" w14:textId="77777777" w:rsidR="00C410D8" w:rsidRPr="007A0AA8" w:rsidRDefault="00C410D8" w:rsidP="007A0AA8">
            <w:pPr>
              <w:pStyle w:val="NoSpacing"/>
              <w:jc w:val="center"/>
              <w:rPr>
                <w:sz w:val="18"/>
                <w:szCs w:val="18"/>
              </w:rPr>
            </w:pPr>
            <w:r w:rsidRPr="007A0AA8">
              <w:rPr>
                <w:sz w:val="18"/>
                <w:szCs w:val="18"/>
                <w:lang w:val="vi-VN" w:bidi="vi-VN"/>
              </w:rPr>
              <w:t>48.500 USD</w:t>
            </w:r>
          </w:p>
        </w:tc>
        <w:tc>
          <w:tcPr>
            <w:tcW w:w="250" w:type="dxa"/>
            <w:tcBorders>
              <w:top w:val="nil"/>
              <w:bottom w:val="nil"/>
            </w:tcBorders>
            <w:shd w:val="clear" w:color="auto" w:fill="auto"/>
            <w:vAlign w:val="center"/>
          </w:tcPr>
          <w:p w14:paraId="03B984B6" w14:textId="77777777" w:rsidR="00C410D8" w:rsidRPr="007A0AA8" w:rsidRDefault="00C410D8" w:rsidP="007A0AA8">
            <w:pPr>
              <w:pStyle w:val="NoSpacing"/>
              <w:jc w:val="center"/>
              <w:rPr>
                <w:sz w:val="18"/>
                <w:szCs w:val="18"/>
              </w:rPr>
            </w:pPr>
          </w:p>
        </w:tc>
        <w:tc>
          <w:tcPr>
            <w:tcW w:w="1510" w:type="dxa"/>
            <w:shd w:val="clear" w:color="auto" w:fill="auto"/>
            <w:noWrap/>
            <w:vAlign w:val="center"/>
            <w:hideMark/>
          </w:tcPr>
          <w:p w14:paraId="03B984B7" w14:textId="77777777" w:rsidR="00C410D8" w:rsidRPr="007A0AA8" w:rsidRDefault="00C410D8" w:rsidP="007A0AA8">
            <w:pPr>
              <w:pStyle w:val="NoSpacing"/>
              <w:jc w:val="center"/>
              <w:rPr>
                <w:sz w:val="18"/>
                <w:szCs w:val="18"/>
              </w:rPr>
            </w:pPr>
            <w:r w:rsidRPr="007A0AA8">
              <w:rPr>
                <w:sz w:val="18"/>
                <w:szCs w:val="18"/>
                <w:lang w:val="vi-VN" w:bidi="vi-VN"/>
              </w:rPr>
              <w:t>4</w:t>
            </w:r>
          </w:p>
        </w:tc>
        <w:tc>
          <w:tcPr>
            <w:tcW w:w="1420" w:type="dxa"/>
            <w:shd w:val="clear" w:color="auto" w:fill="auto"/>
            <w:noWrap/>
            <w:vAlign w:val="center"/>
            <w:hideMark/>
          </w:tcPr>
          <w:p w14:paraId="03B984B8" w14:textId="77777777" w:rsidR="00C410D8" w:rsidRPr="007A0AA8" w:rsidRDefault="00C410D8" w:rsidP="007A0AA8">
            <w:pPr>
              <w:pStyle w:val="NoSpacing"/>
              <w:jc w:val="center"/>
              <w:rPr>
                <w:sz w:val="18"/>
                <w:szCs w:val="18"/>
              </w:rPr>
            </w:pPr>
            <w:r w:rsidRPr="007A0AA8">
              <w:rPr>
                <w:sz w:val="18"/>
                <w:szCs w:val="18"/>
                <w:lang w:val="vi-VN" w:bidi="vi-VN"/>
              </w:rPr>
              <w:t>48.501 USD – 60.625 USD</w:t>
            </w:r>
          </w:p>
        </w:tc>
        <w:tc>
          <w:tcPr>
            <w:tcW w:w="1426" w:type="dxa"/>
            <w:shd w:val="clear" w:color="auto" w:fill="auto"/>
            <w:noWrap/>
            <w:vAlign w:val="center"/>
            <w:hideMark/>
          </w:tcPr>
          <w:p w14:paraId="03B984B9" w14:textId="77777777" w:rsidR="00C410D8" w:rsidRPr="007A0AA8" w:rsidRDefault="00C410D8" w:rsidP="007A0AA8">
            <w:pPr>
              <w:pStyle w:val="NoSpacing"/>
              <w:jc w:val="center"/>
              <w:rPr>
                <w:sz w:val="18"/>
                <w:szCs w:val="18"/>
              </w:rPr>
            </w:pPr>
            <w:r w:rsidRPr="007A0AA8">
              <w:rPr>
                <w:sz w:val="18"/>
                <w:szCs w:val="18"/>
                <w:lang w:val="vi-VN" w:bidi="vi-VN"/>
              </w:rPr>
              <w:t>60.626 USD – 72.750 USD</w:t>
            </w:r>
          </w:p>
        </w:tc>
        <w:tc>
          <w:tcPr>
            <w:tcW w:w="1426" w:type="dxa"/>
            <w:shd w:val="clear" w:color="auto" w:fill="auto"/>
            <w:noWrap/>
            <w:vAlign w:val="center"/>
            <w:hideMark/>
          </w:tcPr>
          <w:p w14:paraId="03B984BA" w14:textId="77777777" w:rsidR="00C410D8" w:rsidRPr="007A0AA8" w:rsidRDefault="00C410D8" w:rsidP="007A0AA8">
            <w:pPr>
              <w:pStyle w:val="NoSpacing"/>
              <w:jc w:val="center"/>
              <w:rPr>
                <w:sz w:val="18"/>
                <w:szCs w:val="18"/>
              </w:rPr>
            </w:pPr>
            <w:r w:rsidRPr="007A0AA8">
              <w:rPr>
                <w:sz w:val="18"/>
                <w:szCs w:val="18"/>
                <w:lang w:val="vi-VN" w:bidi="vi-VN"/>
              </w:rPr>
              <w:t>72.751 USD – 84.875 USD</w:t>
            </w:r>
          </w:p>
        </w:tc>
        <w:tc>
          <w:tcPr>
            <w:tcW w:w="1426" w:type="dxa"/>
            <w:shd w:val="clear" w:color="auto" w:fill="auto"/>
            <w:noWrap/>
            <w:vAlign w:val="center"/>
            <w:hideMark/>
          </w:tcPr>
          <w:p w14:paraId="03B984BB" w14:textId="77777777" w:rsidR="00C410D8" w:rsidRPr="007A0AA8" w:rsidRDefault="00C410D8" w:rsidP="007A0AA8">
            <w:pPr>
              <w:pStyle w:val="NoSpacing"/>
              <w:jc w:val="center"/>
              <w:rPr>
                <w:sz w:val="18"/>
                <w:szCs w:val="18"/>
              </w:rPr>
            </w:pPr>
            <w:r w:rsidRPr="007A0AA8">
              <w:rPr>
                <w:sz w:val="18"/>
                <w:szCs w:val="18"/>
                <w:lang w:val="vi-VN" w:bidi="vi-VN"/>
              </w:rPr>
              <w:t>84.876 USD – 97.000 USD</w:t>
            </w:r>
          </w:p>
        </w:tc>
        <w:tc>
          <w:tcPr>
            <w:tcW w:w="1427" w:type="dxa"/>
            <w:shd w:val="clear" w:color="auto" w:fill="auto"/>
            <w:noWrap/>
            <w:vAlign w:val="center"/>
            <w:hideMark/>
          </w:tcPr>
          <w:p w14:paraId="03B984BC" w14:textId="77777777" w:rsidR="00C410D8" w:rsidRPr="007A0AA8" w:rsidRDefault="00C410D8" w:rsidP="007A0AA8">
            <w:pPr>
              <w:pStyle w:val="NoSpacing"/>
              <w:jc w:val="center"/>
              <w:rPr>
                <w:sz w:val="18"/>
                <w:szCs w:val="18"/>
              </w:rPr>
            </w:pPr>
            <w:r w:rsidRPr="007A0AA8">
              <w:rPr>
                <w:sz w:val="18"/>
                <w:szCs w:val="18"/>
                <w:lang w:val="vi-VN" w:bidi="vi-VN"/>
              </w:rPr>
              <w:t>97.001 USD – 121.250 USD</w:t>
            </w:r>
          </w:p>
        </w:tc>
      </w:tr>
      <w:tr w:rsidR="00C410D8" w:rsidRPr="007A0AA8" w14:paraId="03B984C7" w14:textId="77777777" w:rsidTr="007A0AA8">
        <w:trPr>
          <w:trHeight w:val="285"/>
          <w:jc w:val="center"/>
        </w:trPr>
        <w:tc>
          <w:tcPr>
            <w:tcW w:w="1314" w:type="dxa"/>
            <w:shd w:val="clear" w:color="auto" w:fill="auto"/>
            <w:vAlign w:val="center"/>
          </w:tcPr>
          <w:p w14:paraId="03B984BE" w14:textId="77777777" w:rsidR="00C410D8" w:rsidRPr="007A0AA8" w:rsidRDefault="00C410D8" w:rsidP="007A0AA8">
            <w:pPr>
              <w:pStyle w:val="NoSpacing"/>
              <w:jc w:val="center"/>
              <w:rPr>
                <w:sz w:val="18"/>
                <w:szCs w:val="18"/>
              </w:rPr>
            </w:pPr>
            <w:r w:rsidRPr="007A0AA8">
              <w:rPr>
                <w:sz w:val="18"/>
                <w:szCs w:val="18"/>
                <w:lang w:val="vi-VN" w:bidi="vi-VN"/>
              </w:rPr>
              <w:t>5</w:t>
            </w:r>
          </w:p>
        </w:tc>
        <w:tc>
          <w:tcPr>
            <w:tcW w:w="1078" w:type="dxa"/>
            <w:shd w:val="clear" w:color="auto" w:fill="auto"/>
            <w:vAlign w:val="center"/>
          </w:tcPr>
          <w:p w14:paraId="03B984BF" w14:textId="77777777" w:rsidR="00C410D8" w:rsidRPr="007A0AA8" w:rsidRDefault="00C410D8" w:rsidP="007A0AA8">
            <w:pPr>
              <w:pStyle w:val="NoSpacing"/>
              <w:jc w:val="center"/>
              <w:rPr>
                <w:sz w:val="18"/>
                <w:szCs w:val="18"/>
              </w:rPr>
            </w:pPr>
            <w:r w:rsidRPr="007A0AA8">
              <w:rPr>
                <w:sz w:val="18"/>
                <w:szCs w:val="18"/>
                <w:lang w:val="vi-VN" w:bidi="vi-VN"/>
              </w:rPr>
              <w:t>56.820 USD</w:t>
            </w:r>
          </w:p>
        </w:tc>
        <w:tc>
          <w:tcPr>
            <w:tcW w:w="250" w:type="dxa"/>
            <w:tcBorders>
              <w:top w:val="nil"/>
              <w:bottom w:val="nil"/>
            </w:tcBorders>
            <w:shd w:val="clear" w:color="auto" w:fill="auto"/>
            <w:vAlign w:val="center"/>
          </w:tcPr>
          <w:p w14:paraId="03B984C0" w14:textId="77777777" w:rsidR="00C410D8" w:rsidRPr="007A0AA8" w:rsidRDefault="00C410D8" w:rsidP="007A0AA8">
            <w:pPr>
              <w:pStyle w:val="NoSpacing"/>
              <w:jc w:val="center"/>
              <w:rPr>
                <w:sz w:val="18"/>
                <w:szCs w:val="18"/>
              </w:rPr>
            </w:pPr>
          </w:p>
        </w:tc>
        <w:tc>
          <w:tcPr>
            <w:tcW w:w="1510" w:type="dxa"/>
            <w:shd w:val="clear" w:color="auto" w:fill="auto"/>
            <w:noWrap/>
            <w:vAlign w:val="center"/>
            <w:hideMark/>
          </w:tcPr>
          <w:p w14:paraId="03B984C1" w14:textId="77777777" w:rsidR="00C410D8" w:rsidRPr="007A0AA8" w:rsidRDefault="00C410D8" w:rsidP="007A0AA8">
            <w:pPr>
              <w:pStyle w:val="NoSpacing"/>
              <w:jc w:val="center"/>
              <w:rPr>
                <w:sz w:val="18"/>
                <w:szCs w:val="18"/>
              </w:rPr>
            </w:pPr>
            <w:r w:rsidRPr="007A0AA8">
              <w:rPr>
                <w:sz w:val="18"/>
                <w:szCs w:val="18"/>
                <w:lang w:val="vi-VN" w:bidi="vi-VN"/>
              </w:rPr>
              <w:t>5</w:t>
            </w:r>
          </w:p>
        </w:tc>
        <w:tc>
          <w:tcPr>
            <w:tcW w:w="1420" w:type="dxa"/>
            <w:shd w:val="clear" w:color="auto" w:fill="auto"/>
            <w:noWrap/>
            <w:vAlign w:val="center"/>
            <w:hideMark/>
          </w:tcPr>
          <w:p w14:paraId="03B984C2" w14:textId="77777777" w:rsidR="00C410D8" w:rsidRPr="007A0AA8" w:rsidRDefault="00C410D8" w:rsidP="007A0AA8">
            <w:pPr>
              <w:pStyle w:val="NoSpacing"/>
              <w:jc w:val="center"/>
              <w:rPr>
                <w:sz w:val="18"/>
                <w:szCs w:val="18"/>
              </w:rPr>
            </w:pPr>
            <w:r w:rsidRPr="007A0AA8">
              <w:rPr>
                <w:sz w:val="18"/>
                <w:szCs w:val="18"/>
                <w:lang w:val="vi-VN" w:bidi="vi-VN"/>
              </w:rPr>
              <w:t>56.821 USD – 71.025 USD</w:t>
            </w:r>
          </w:p>
        </w:tc>
        <w:tc>
          <w:tcPr>
            <w:tcW w:w="1426" w:type="dxa"/>
            <w:shd w:val="clear" w:color="auto" w:fill="auto"/>
            <w:noWrap/>
            <w:vAlign w:val="center"/>
            <w:hideMark/>
          </w:tcPr>
          <w:p w14:paraId="03B984C3" w14:textId="77777777" w:rsidR="00C410D8" w:rsidRPr="007A0AA8" w:rsidRDefault="00C410D8" w:rsidP="007A0AA8">
            <w:pPr>
              <w:pStyle w:val="NoSpacing"/>
              <w:jc w:val="center"/>
              <w:rPr>
                <w:sz w:val="18"/>
                <w:szCs w:val="18"/>
              </w:rPr>
            </w:pPr>
            <w:r w:rsidRPr="007A0AA8">
              <w:rPr>
                <w:sz w:val="18"/>
                <w:szCs w:val="18"/>
                <w:lang w:val="vi-VN" w:bidi="vi-VN"/>
              </w:rPr>
              <w:t>71.026 USD – 85.230 USD</w:t>
            </w:r>
          </w:p>
        </w:tc>
        <w:tc>
          <w:tcPr>
            <w:tcW w:w="1426" w:type="dxa"/>
            <w:shd w:val="clear" w:color="auto" w:fill="auto"/>
            <w:noWrap/>
            <w:vAlign w:val="center"/>
            <w:hideMark/>
          </w:tcPr>
          <w:p w14:paraId="03B984C4" w14:textId="77777777" w:rsidR="00C410D8" w:rsidRPr="007A0AA8" w:rsidRDefault="00C410D8" w:rsidP="007A0AA8">
            <w:pPr>
              <w:pStyle w:val="NoSpacing"/>
              <w:jc w:val="center"/>
              <w:rPr>
                <w:sz w:val="18"/>
                <w:szCs w:val="18"/>
              </w:rPr>
            </w:pPr>
            <w:r w:rsidRPr="007A0AA8">
              <w:rPr>
                <w:sz w:val="18"/>
                <w:szCs w:val="18"/>
                <w:lang w:val="vi-VN" w:bidi="vi-VN"/>
              </w:rPr>
              <w:t>85.231 USD – 99.435 USD</w:t>
            </w:r>
          </w:p>
        </w:tc>
        <w:tc>
          <w:tcPr>
            <w:tcW w:w="1426" w:type="dxa"/>
            <w:shd w:val="clear" w:color="auto" w:fill="auto"/>
            <w:noWrap/>
            <w:vAlign w:val="center"/>
            <w:hideMark/>
          </w:tcPr>
          <w:p w14:paraId="03B984C5" w14:textId="77777777" w:rsidR="00C410D8" w:rsidRPr="007A0AA8" w:rsidRDefault="00C410D8" w:rsidP="007A0AA8">
            <w:pPr>
              <w:pStyle w:val="NoSpacing"/>
              <w:jc w:val="center"/>
              <w:rPr>
                <w:sz w:val="18"/>
                <w:szCs w:val="18"/>
              </w:rPr>
            </w:pPr>
            <w:r w:rsidRPr="007A0AA8">
              <w:rPr>
                <w:sz w:val="18"/>
                <w:szCs w:val="18"/>
                <w:lang w:val="vi-VN" w:bidi="vi-VN"/>
              </w:rPr>
              <w:t>99.436 USD – 113.640 USD</w:t>
            </w:r>
          </w:p>
        </w:tc>
        <w:tc>
          <w:tcPr>
            <w:tcW w:w="1427" w:type="dxa"/>
            <w:shd w:val="clear" w:color="auto" w:fill="auto"/>
            <w:noWrap/>
            <w:vAlign w:val="center"/>
            <w:hideMark/>
          </w:tcPr>
          <w:p w14:paraId="03B984C6" w14:textId="77777777" w:rsidR="00C410D8" w:rsidRPr="007A0AA8" w:rsidRDefault="00C410D8" w:rsidP="007A0AA8">
            <w:pPr>
              <w:pStyle w:val="NoSpacing"/>
              <w:jc w:val="center"/>
              <w:rPr>
                <w:sz w:val="18"/>
                <w:szCs w:val="18"/>
              </w:rPr>
            </w:pPr>
            <w:r w:rsidRPr="007A0AA8">
              <w:rPr>
                <w:sz w:val="18"/>
                <w:szCs w:val="18"/>
                <w:lang w:val="vi-VN" w:bidi="vi-VN"/>
              </w:rPr>
              <w:t>113.641 USD – 142.050 USD</w:t>
            </w:r>
          </w:p>
        </w:tc>
      </w:tr>
      <w:tr w:rsidR="00C410D8" w:rsidRPr="007A0AA8" w14:paraId="03B984D1" w14:textId="77777777" w:rsidTr="007A0AA8">
        <w:trPr>
          <w:trHeight w:val="285"/>
          <w:jc w:val="center"/>
        </w:trPr>
        <w:tc>
          <w:tcPr>
            <w:tcW w:w="1314" w:type="dxa"/>
            <w:shd w:val="clear" w:color="auto" w:fill="auto"/>
            <w:vAlign w:val="center"/>
          </w:tcPr>
          <w:p w14:paraId="03B984C8" w14:textId="77777777" w:rsidR="00C410D8" w:rsidRPr="007A0AA8" w:rsidRDefault="00C410D8" w:rsidP="007A0AA8">
            <w:pPr>
              <w:pStyle w:val="NoSpacing"/>
              <w:jc w:val="center"/>
              <w:rPr>
                <w:sz w:val="18"/>
                <w:szCs w:val="18"/>
              </w:rPr>
            </w:pPr>
            <w:r w:rsidRPr="007A0AA8">
              <w:rPr>
                <w:sz w:val="18"/>
                <w:szCs w:val="18"/>
                <w:lang w:val="vi-VN" w:bidi="vi-VN"/>
              </w:rPr>
              <w:t>6</w:t>
            </w:r>
          </w:p>
        </w:tc>
        <w:tc>
          <w:tcPr>
            <w:tcW w:w="1078" w:type="dxa"/>
            <w:shd w:val="clear" w:color="auto" w:fill="auto"/>
            <w:vAlign w:val="center"/>
          </w:tcPr>
          <w:p w14:paraId="03B984C9" w14:textId="77777777" w:rsidR="00C410D8" w:rsidRPr="007A0AA8" w:rsidRDefault="00C410D8" w:rsidP="007A0AA8">
            <w:pPr>
              <w:pStyle w:val="NoSpacing"/>
              <w:jc w:val="center"/>
              <w:rPr>
                <w:sz w:val="18"/>
                <w:szCs w:val="18"/>
              </w:rPr>
            </w:pPr>
            <w:r w:rsidRPr="007A0AA8">
              <w:rPr>
                <w:sz w:val="18"/>
                <w:szCs w:val="18"/>
                <w:lang w:val="vi-VN" w:bidi="vi-VN"/>
              </w:rPr>
              <w:t>65.140 USD</w:t>
            </w:r>
          </w:p>
        </w:tc>
        <w:tc>
          <w:tcPr>
            <w:tcW w:w="250" w:type="dxa"/>
            <w:tcBorders>
              <w:top w:val="nil"/>
              <w:bottom w:val="nil"/>
            </w:tcBorders>
            <w:shd w:val="clear" w:color="auto" w:fill="auto"/>
            <w:vAlign w:val="center"/>
          </w:tcPr>
          <w:p w14:paraId="03B984CA" w14:textId="77777777" w:rsidR="00C410D8" w:rsidRPr="007A0AA8" w:rsidRDefault="00C410D8" w:rsidP="007A0AA8">
            <w:pPr>
              <w:pStyle w:val="NoSpacing"/>
              <w:jc w:val="center"/>
              <w:rPr>
                <w:sz w:val="18"/>
                <w:szCs w:val="18"/>
              </w:rPr>
            </w:pPr>
          </w:p>
        </w:tc>
        <w:tc>
          <w:tcPr>
            <w:tcW w:w="1510" w:type="dxa"/>
            <w:shd w:val="clear" w:color="auto" w:fill="auto"/>
            <w:noWrap/>
            <w:vAlign w:val="center"/>
            <w:hideMark/>
          </w:tcPr>
          <w:p w14:paraId="03B984CB" w14:textId="77777777" w:rsidR="00C410D8" w:rsidRPr="007A0AA8" w:rsidRDefault="00C410D8" w:rsidP="007A0AA8">
            <w:pPr>
              <w:pStyle w:val="NoSpacing"/>
              <w:jc w:val="center"/>
              <w:rPr>
                <w:sz w:val="18"/>
                <w:szCs w:val="18"/>
              </w:rPr>
            </w:pPr>
            <w:r w:rsidRPr="007A0AA8">
              <w:rPr>
                <w:sz w:val="18"/>
                <w:szCs w:val="18"/>
                <w:lang w:val="vi-VN" w:bidi="vi-VN"/>
              </w:rPr>
              <w:t>6</w:t>
            </w:r>
          </w:p>
        </w:tc>
        <w:tc>
          <w:tcPr>
            <w:tcW w:w="1420" w:type="dxa"/>
            <w:shd w:val="clear" w:color="auto" w:fill="auto"/>
            <w:noWrap/>
            <w:vAlign w:val="center"/>
            <w:hideMark/>
          </w:tcPr>
          <w:p w14:paraId="03B984CC" w14:textId="77777777" w:rsidR="00C410D8" w:rsidRPr="007A0AA8" w:rsidRDefault="00C410D8" w:rsidP="007A0AA8">
            <w:pPr>
              <w:pStyle w:val="NoSpacing"/>
              <w:jc w:val="center"/>
              <w:rPr>
                <w:sz w:val="18"/>
                <w:szCs w:val="18"/>
              </w:rPr>
            </w:pPr>
            <w:r w:rsidRPr="007A0AA8">
              <w:rPr>
                <w:sz w:val="18"/>
                <w:szCs w:val="18"/>
                <w:lang w:val="vi-VN" w:bidi="vi-VN"/>
              </w:rPr>
              <w:t>65.141 USD – 81.425 USD</w:t>
            </w:r>
          </w:p>
        </w:tc>
        <w:tc>
          <w:tcPr>
            <w:tcW w:w="1426" w:type="dxa"/>
            <w:shd w:val="clear" w:color="auto" w:fill="auto"/>
            <w:noWrap/>
            <w:vAlign w:val="center"/>
            <w:hideMark/>
          </w:tcPr>
          <w:p w14:paraId="03B984CD" w14:textId="77777777" w:rsidR="00C410D8" w:rsidRPr="007A0AA8" w:rsidRDefault="00C410D8" w:rsidP="007A0AA8">
            <w:pPr>
              <w:pStyle w:val="NoSpacing"/>
              <w:jc w:val="center"/>
              <w:rPr>
                <w:sz w:val="18"/>
                <w:szCs w:val="18"/>
              </w:rPr>
            </w:pPr>
            <w:r w:rsidRPr="007A0AA8">
              <w:rPr>
                <w:sz w:val="18"/>
                <w:szCs w:val="18"/>
                <w:lang w:val="vi-VN" w:bidi="vi-VN"/>
              </w:rPr>
              <w:t>81.426 USD – 97.710 USD</w:t>
            </w:r>
          </w:p>
        </w:tc>
        <w:tc>
          <w:tcPr>
            <w:tcW w:w="1426" w:type="dxa"/>
            <w:shd w:val="clear" w:color="auto" w:fill="auto"/>
            <w:noWrap/>
            <w:vAlign w:val="center"/>
            <w:hideMark/>
          </w:tcPr>
          <w:p w14:paraId="03B984CE" w14:textId="77777777" w:rsidR="00C410D8" w:rsidRPr="007A0AA8" w:rsidRDefault="00C410D8" w:rsidP="007A0AA8">
            <w:pPr>
              <w:pStyle w:val="NoSpacing"/>
              <w:jc w:val="center"/>
              <w:rPr>
                <w:sz w:val="18"/>
                <w:szCs w:val="18"/>
              </w:rPr>
            </w:pPr>
            <w:r w:rsidRPr="007A0AA8">
              <w:rPr>
                <w:sz w:val="18"/>
                <w:szCs w:val="18"/>
                <w:lang w:val="vi-VN" w:bidi="vi-VN"/>
              </w:rPr>
              <w:t>97.711 USD – 113.995 USD</w:t>
            </w:r>
          </w:p>
        </w:tc>
        <w:tc>
          <w:tcPr>
            <w:tcW w:w="1426" w:type="dxa"/>
            <w:shd w:val="clear" w:color="auto" w:fill="auto"/>
            <w:noWrap/>
            <w:vAlign w:val="center"/>
            <w:hideMark/>
          </w:tcPr>
          <w:p w14:paraId="03B984CF" w14:textId="77777777" w:rsidR="00C410D8" w:rsidRPr="007A0AA8" w:rsidRDefault="00C410D8" w:rsidP="007A0AA8">
            <w:pPr>
              <w:pStyle w:val="NoSpacing"/>
              <w:jc w:val="center"/>
              <w:rPr>
                <w:sz w:val="18"/>
                <w:szCs w:val="18"/>
              </w:rPr>
            </w:pPr>
            <w:r w:rsidRPr="007A0AA8">
              <w:rPr>
                <w:sz w:val="18"/>
                <w:szCs w:val="18"/>
                <w:lang w:val="vi-VN" w:bidi="vi-VN"/>
              </w:rPr>
              <w:t>113.966 USD – 130.280 USD</w:t>
            </w:r>
          </w:p>
        </w:tc>
        <w:tc>
          <w:tcPr>
            <w:tcW w:w="1427" w:type="dxa"/>
            <w:shd w:val="clear" w:color="auto" w:fill="auto"/>
            <w:noWrap/>
            <w:vAlign w:val="center"/>
            <w:hideMark/>
          </w:tcPr>
          <w:p w14:paraId="03B984D0" w14:textId="77777777" w:rsidR="00C410D8" w:rsidRPr="007A0AA8" w:rsidRDefault="00C410D8" w:rsidP="007A0AA8">
            <w:pPr>
              <w:pStyle w:val="NoSpacing"/>
              <w:jc w:val="center"/>
              <w:rPr>
                <w:sz w:val="18"/>
                <w:szCs w:val="18"/>
              </w:rPr>
            </w:pPr>
            <w:r w:rsidRPr="007A0AA8">
              <w:rPr>
                <w:sz w:val="18"/>
                <w:szCs w:val="18"/>
                <w:lang w:val="vi-VN" w:bidi="vi-VN"/>
              </w:rPr>
              <w:t>130.281 USD – 162.850 USD</w:t>
            </w:r>
          </w:p>
        </w:tc>
      </w:tr>
      <w:tr w:rsidR="00C410D8" w:rsidRPr="007A0AA8" w14:paraId="03B984DB" w14:textId="77777777" w:rsidTr="007A0AA8">
        <w:trPr>
          <w:trHeight w:val="285"/>
          <w:jc w:val="center"/>
        </w:trPr>
        <w:tc>
          <w:tcPr>
            <w:tcW w:w="1314" w:type="dxa"/>
            <w:shd w:val="clear" w:color="auto" w:fill="auto"/>
            <w:vAlign w:val="center"/>
          </w:tcPr>
          <w:p w14:paraId="03B984D2" w14:textId="77777777" w:rsidR="00C410D8" w:rsidRPr="007A0AA8" w:rsidRDefault="00C410D8" w:rsidP="007A0AA8">
            <w:pPr>
              <w:pStyle w:val="NoSpacing"/>
              <w:jc w:val="center"/>
              <w:rPr>
                <w:sz w:val="18"/>
                <w:szCs w:val="18"/>
              </w:rPr>
            </w:pPr>
            <w:r w:rsidRPr="007A0AA8">
              <w:rPr>
                <w:sz w:val="18"/>
                <w:szCs w:val="18"/>
                <w:lang w:val="vi-VN" w:bidi="vi-VN"/>
              </w:rPr>
              <w:t>7</w:t>
            </w:r>
          </w:p>
        </w:tc>
        <w:tc>
          <w:tcPr>
            <w:tcW w:w="1078" w:type="dxa"/>
            <w:shd w:val="clear" w:color="auto" w:fill="auto"/>
            <w:vAlign w:val="center"/>
          </w:tcPr>
          <w:p w14:paraId="03B984D3" w14:textId="77777777" w:rsidR="00C410D8" w:rsidRPr="007A0AA8" w:rsidRDefault="00C410D8" w:rsidP="007A0AA8">
            <w:pPr>
              <w:pStyle w:val="NoSpacing"/>
              <w:jc w:val="center"/>
              <w:rPr>
                <w:sz w:val="18"/>
                <w:szCs w:val="18"/>
              </w:rPr>
            </w:pPr>
            <w:r w:rsidRPr="007A0AA8">
              <w:rPr>
                <w:sz w:val="18"/>
                <w:szCs w:val="18"/>
                <w:lang w:val="vi-VN" w:bidi="vi-VN"/>
              </w:rPr>
              <w:t>73.460 USD</w:t>
            </w:r>
          </w:p>
        </w:tc>
        <w:tc>
          <w:tcPr>
            <w:tcW w:w="250" w:type="dxa"/>
            <w:tcBorders>
              <w:top w:val="nil"/>
              <w:bottom w:val="nil"/>
            </w:tcBorders>
            <w:shd w:val="clear" w:color="auto" w:fill="auto"/>
            <w:vAlign w:val="center"/>
          </w:tcPr>
          <w:p w14:paraId="03B984D4" w14:textId="77777777" w:rsidR="00C410D8" w:rsidRPr="007A0AA8" w:rsidRDefault="00C410D8" w:rsidP="007A0AA8">
            <w:pPr>
              <w:pStyle w:val="NoSpacing"/>
              <w:jc w:val="center"/>
              <w:rPr>
                <w:sz w:val="18"/>
                <w:szCs w:val="18"/>
              </w:rPr>
            </w:pPr>
          </w:p>
        </w:tc>
        <w:tc>
          <w:tcPr>
            <w:tcW w:w="1510" w:type="dxa"/>
            <w:shd w:val="clear" w:color="auto" w:fill="auto"/>
            <w:noWrap/>
            <w:vAlign w:val="center"/>
            <w:hideMark/>
          </w:tcPr>
          <w:p w14:paraId="03B984D5" w14:textId="77777777" w:rsidR="00C410D8" w:rsidRPr="007A0AA8" w:rsidRDefault="00C410D8" w:rsidP="007A0AA8">
            <w:pPr>
              <w:pStyle w:val="NoSpacing"/>
              <w:jc w:val="center"/>
              <w:rPr>
                <w:sz w:val="18"/>
                <w:szCs w:val="18"/>
              </w:rPr>
            </w:pPr>
            <w:r w:rsidRPr="007A0AA8">
              <w:rPr>
                <w:sz w:val="18"/>
                <w:szCs w:val="18"/>
                <w:lang w:val="vi-VN" w:bidi="vi-VN"/>
              </w:rPr>
              <w:t>7</w:t>
            </w:r>
          </w:p>
        </w:tc>
        <w:tc>
          <w:tcPr>
            <w:tcW w:w="1420" w:type="dxa"/>
            <w:shd w:val="clear" w:color="auto" w:fill="auto"/>
            <w:noWrap/>
            <w:vAlign w:val="center"/>
            <w:hideMark/>
          </w:tcPr>
          <w:p w14:paraId="03B984D6" w14:textId="77777777" w:rsidR="00C410D8" w:rsidRPr="007A0AA8" w:rsidRDefault="00C410D8" w:rsidP="007A0AA8">
            <w:pPr>
              <w:pStyle w:val="NoSpacing"/>
              <w:jc w:val="center"/>
              <w:rPr>
                <w:sz w:val="18"/>
                <w:szCs w:val="18"/>
              </w:rPr>
            </w:pPr>
            <w:r w:rsidRPr="007A0AA8">
              <w:rPr>
                <w:sz w:val="18"/>
                <w:szCs w:val="18"/>
                <w:lang w:val="vi-VN" w:bidi="vi-VN"/>
              </w:rPr>
              <w:t>73.461 USD – 91.825 USD</w:t>
            </w:r>
          </w:p>
        </w:tc>
        <w:tc>
          <w:tcPr>
            <w:tcW w:w="1426" w:type="dxa"/>
            <w:shd w:val="clear" w:color="auto" w:fill="auto"/>
            <w:noWrap/>
            <w:vAlign w:val="center"/>
            <w:hideMark/>
          </w:tcPr>
          <w:p w14:paraId="03B984D7" w14:textId="77777777" w:rsidR="00C410D8" w:rsidRPr="007A0AA8" w:rsidRDefault="00C410D8" w:rsidP="007A0AA8">
            <w:pPr>
              <w:pStyle w:val="NoSpacing"/>
              <w:jc w:val="center"/>
              <w:rPr>
                <w:sz w:val="18"/>
                <w:szCs w:val="18"/>
              </w:rPr>
            </w:pPr>
            <w:r w:rsidRPr="007A0AA8">
              <w:rPr>
                <w:sz w:val="18"/>
                <w:szCs w:val="18"/>
                <w:lang w:val="vi-VN" w:bidi="vi-VN"/>
              </w:rPr>
              <w:t>91.826 USD – 110.190 USD</w:t>
            </w:r>
          </w:p>
        </w:tc>
        <w:tc>
          <w:tcPr>
            <w:tcW w:w="1426" w:type="dxa"/>
            <w:shd w:val="clear" w:color="auto" w:fill="auto"/>
            <w:noWrap/>
            <w:vAlign w:val="center"/>
            <w:hideMark/>
          </w:tcPr>
          <w:p w14:paraId="03B984D8" w14:textId="77777777" w:rsidR="00C410D8" w:rsidRPr="007A0AA8" w:rsidRDefault="00C410D8" w:rsidP="007A0AA8">
            <w:pPr>
              <w:pStyle w:val="NoSpacing"/>
              <w:jc w:val="center"/>
              <w:rPr>
                <w:sz w:val="18"/>
                <w:szCs w:val="18"/>
              </w:rPr>
            </w:pPr>
            <w:r w:rsidRPr="007A0AA8">
              <w:rPr>
                <w:sz w:val="18"/>
                <w:szCs w:val="18"/>
                <w:lang w:val="vi-VN" w:bidi="vi-VN"/>
              </w:rPr>
              <w:t>110.191 USD – 128.555 USD</w:t>
            </w:r>
          </w:p>
        </w:tc>
        <w:tc>
          <w:tcPr>
            <w:tcW w:w="1426" w:type="dxa"/>
            <w:shd w:val="clear" w:color="auto" w:fill="auto"/>
            <w:noWrap/>
            <w:vAlign w:val="center"/>
            <w:hideMark/>
          </w:tcPr>
          <w:p w14:paraId="03B984D9" w14:textId="77777777" w:rsidR="00C410D8" w:rsidRPr="007A0AA8" w:rsidRDefault="00C410D8" w:rsidP="007A0AA8">
            <w:pPr>
              <w:pStyle w:val="NoSpacing"/>
              <w:jc w:val="center"/>
              <w:rPr>
                <w:sz w:val="18"/>
                <w:szCs w:val="18"/>
              </w:rPr>
            </w:pPr>
            <w:r w:rsidRPr="007A0AA8">
              <w:rPr>
                <w:sz w:val="18"/>
                <w:szCs w:val="18"/>
                <w:lang w:val="vi-VN" w:bidi="vi-VN"/>
              </w:rPr>
              <w:t>128.556 USD – 146.920 USD</w:t>
            </w:r>
          </w:p>
        </w:tc>
        <w:tc>
          <w:tcPr>
            <w:tcW w:w="1427" w:type="dxa"/>
            <w:shd w:val="clear" w:color="auto" w:fill="auto"/>
            <w:noWrap/>
            <w:vAlign w:val="center"/>
            <w:hideMark/>
          </w:tcPr>
          <w:p w14:paraId="03B984DA" w14:textId="77777777" w:rsidR="00C410D8" w:rsidRPr="007A0AA8" w:rsidRDefault="00C410D8" w:rsidP="007A0AA8">
            <w:pPr>
              <w:pStyle w:val="NoSpacing"/>
              <w:jc w:val="center"/>
              <w:rPr>
                <w:sz w:val="18"/>
                <w:szCs w:val="18"/>
              </w:rPr>
            </w:pPr>
            <w:r w:rsidRPr="007A0AA8">
              <w:rPr>
                <w:sz w:val="18"/>
                <w:szCs w:val="18"/>
                <w:lang w:val="vi-VN" w:bidi="vi-VN"/>
              </w:rPr>
              <w:t>146.921 USD – 183.650 USD</w:t>
            </w:r>
          </w:p>
        </w:tc>
      </w:tr>
      <w:tr w:rsidR="00C410D8" w:rsidRPr="007A0AA8" w14:paraId="03B984E5" w14:textId="77777777" w:rsidTr="007A0AA8">
        <w:trPr>
          <w:trHeight w:val="285"/>
          <w:jc w:val="center"/>
        </w:trPr>
        <w:tc>
          <w:tcPr>
            <w:tcW w:w="1314" w:type="dxa"/>
            <w:shd w:val="clear" w:color="auto" w:fill="auto"/>
            <w:vAlign w:val="center"/>
          </w:tcPr>
          <w:p w14:paraId="03B984DC" w14:textId="77777777" w:rsidR="00C410D8" w:rsidRPr="007A0AA8" w:rsidRDefault="00C410D8" w:rsidP="007A0AA8">
            <w:pPr>
              <w:pStyle w:val="NoSpacing"/>
              <w:jc w:val="center"/>
              <w:rPr>
                <w:sz w:val="18"/>
                <w:szCs w:val="18"/>
              </w:rPr>
            </w:pPr>
            <w:r w:rsidRPr="007A0AA8">
              <w:rPr>
                <w:sz w:val="18"/>
                <w:szCs w:val="18"/>
                <w:lang w:val="vi-VN" w:bidi="vi-VN"/>
              </w:rPr>
              <w:t>8</w:t>
            </w:r>
          </w:p>
        </w:tc>
        <w:tc>
          <w:tcPr>
            <w:tcW w:w="1078" w:type="dxa"/>
            <w:shd w:val="clear" w:color="auto" w:fill="auto"/>
            <w:vAlign w:val="center"/>
          </w:tcPr>
          <w:p w14:paraId="03B984DD" w14:textId="77777777" w:rsidR="00C410D8" w:rsidRPr="007A0AA8" w:rsidRDefault="00C410D8" w:rsidP="007A0AA8">
            <w:pPr>
              <w:pStyle w:val="NoSpacing"/>
              <w:jc w:val="center"/>
              <w:rPr>
                <w:sz w:val="18"/>
                <w:szCs w:val="18"/>
              </w:rPr>
            </w:pPr>
            <w:r w:rsidRPr="007A0AA8">
              <w:rPr>
                <w:sz w:val="18"/>
                <w:szCs w:val="18"/>
                <w:lang w:val="vi-VN" w:bidi="vi-VN"/>
              </w:rPr>
              <w:t>81.780 USD</w:t>
            </w:r>
          </w:p>
        </w:tc>
        <w:tc>
          <w:tcPr>
            <w:tcW w:w="250" w:type="dxa"/>
            <w:tcBorders>
              <w:top w:val="nil"/>
              <w:bottom w:val="nil"/>
            </w:tcBorders>
            <w:shd w:val="clear" w:color="auto" w:fill="auto"/>
            <w:vAlign w:val="center"/>
          </w:tcPr>
          <w:p w14:paraId="03B984DE" w14:textId="77777777" w:rsidR="00C410D8" w:rsidRPr="007A0AA8" w:rsidRDefault="00C410D8" w:rsidP="007A0AA8">
            <w:pPr>
              <w:pStyle w:val="NoSpacing"/>
              <w:jc w:val="center"/>
              <w:rPr>
                <w:sz w:val="18"/>
                <w:szCs w:val="18"/>
              </w:rPr>
            </w:pPr>
          </w:p>
        </w:tc>
        <w:tc>
          <w:tcPr>
            <w:tcW w:w="1510" w:type="dxa"/>
            <w:shd w:val="clear" w:color="auto" w:fill="auto"/>
            <w:noWrap/>
            <w:vAlign w:val="center"/>
            <w:hideMark/>
          </w:tcPr>
          <w:p w14:paraId="03B984DF" w14:textId="77777777" w:rsidR="00C410D8" w:rsidRPr="007A0AA8" w:rsidRDefault="00C410D8" w:rsidP="007A0AA8">
            <w:pPr>
              <w:pStyle w:val="NoSpacing"/>
              <w:jc w:val="center"/>
              <w:rPr>
                <w:sz w:val="18"/>
                <w:szCs w:val="18"/>
              </w:rPr>
            </w:pPr>
            <w:r w:rsidRPr="007A0AA8">
              <w:rPr>
                <w:sz w:val="18"/>
                <w:szCs w:val="18"/>
                <w:lang w:val="vi-VN" w:bidi="vi-VN"/>
              </w:rPr>
              <w:t>8</w:t>
            </w:r>
          </w:p>
        </w:tc>
        <w:tc>
          <w:tcPr>
            <w:tcW w:w="1420" w:type="dxa"/>
            <w:shd w:val="clear" w:color="auto" w:fill="auto"/>
            <w:noWrap/>
            <w:vAlign w:val="center"/>
            <w:hideMark/>
          </w:tcPr>
          <w:p w14:paraId="03B984E0" w14:textId="77777777" w:rsidR="00C410D8" w:rsidRPr="007A0AA8" w:rsidRDefault="00C410D8" w:rsidP="007A0AA8">
            <w:pPr>
              <w:pStyle w:val="NoSpacing"/>
              <w:jc w:val="center"/>
              <w:rPr>
                <w:sz w:val="18"/>
                <w:szCs w:val="18"/>
              </w:rPr>
            </w:pPr>
            <w:r w:rsidRPr="007A0AA8">
              <w:rPr>
                <w:sz w:val="18"/>
                <w:szCs w:val="18"/>
                <w:lang w:val="vi-VN" w:bidi="vi-VN"/>
              </w:rPr>
              <w:t>81.781 USD – 102.225 USD</w:t>
            </w:r>
          </w:p>
        </w:tc>
        <w:tc>
          <w:tcPr>
            <w:tcW w:w="1426" w:type="dxa"/>
            <w:shd w:val="clear" w:color="auto" w:fill="auto"/>
            <w:noWrap/>
            <w:vAlign w:val="center"/>
            <w:hideMark/>
          </w:tcPr>
          <w:p w14:paraId="03B984E1" w14:textId="77777777" w:rsidR="00C410D8" w:rsidRPr="007A0AA8" w:rsidRDefault="00C410D8" w:rsidP="007A0AA8">
            <w:pPr>
              <w:pStyle w:val="NoSpacing"/>
              <w:jc w:val="center"/>
              <w:rPr>
                <w:sz w:val="18"/>
                <w:szCs w:val="18"/>
              </w:rPr>
            </w:pPr>
            <w:r w:rsidRPr="007A0AA8">
              <w:rPr>
                <w:sz w:val="18"/>
                <w:szCs w:val="18"/>
                <w:lang w:val="vi-VN" w:bidi="vi-VN"/>
              </w:rPr>
              <w:t>102.226 USD – 122.670 USD</w:t>
            </w:r>
          </w:p>
        </w:tc>
        <w:tc>
          <w:tcPr>
            <w:tcW w:w="1426" w:type="dxa"/>
            <w:shd w:val="clear" w:color="auto" w:fill="auto"/>
            <w:noWrap/>
            <w:vAlign w:val="center"/>
            <w:hideMark/>
          </w:tcPr>
          <w:p w14:paraId="03B984E2" w14:textId="77777777" w:rsidR="00C410D8" w:rsidRPr="007A0AA8" w:rsidRDefault="00C410D8" w:rsidP="007A0AA8">
            <w:pPr>
              <w:pStyle w:val="NoSpacing"/>
              <w:jc w:val="center"/>
              <w:rPr>
                <w:sz w:val="18"/>
                <w:szCs w:val="18"/>
              </w:rPr>
            </w:pPr>
            <w:r w:rsidRPr="007A0AA8">
              <w:rPr>
                <w:sz w:val="18"/>
                <w:szCs w:val="18"/>
                <w:lang w:val="vi-VN" w:bidi="vi-VN"/>
              </w:rPr>
              <w:t>122.671 USD – 143.115 USD</w:t>
            </w:r>
          </w:p>
        </w:tc>
        <w:tc>
          <w:tcPr>
            <w:tcW w:w="1426" w:type="dxa"/>
            <w:shd w:val="clear" w:color="auto" w:fill="auto"/>
            <w:noWrap/>
            <w:vAlign w:val="center"/>
            <w:hideMark/>
          </w:tcPr>
          <w:p w14:paraId="03B984E3" w14:textId="77777777" w:rsidR="00C410D8" w:rsidRPr="007A0AA8" w:rsidRDefault="00C410D8" w:rsidP="007A0AA8">
            <w:pPr>
              <w:pStyle w:val="NoSpacing"/>
              <w:jc w:val="center"/>
              <w:rPr>
                <w:sz w:val="18"/>
                <w:szCs w:val="18"/>
              </w:rPr>
            </w:pPr>
            <w:r w:rsidRPr="007A0AA8">
              <w:rPr>
                <w:sz w:val="18"/>
                <w:szCs w:val="18"/>
                <w:lang w:val="vi-VN" w:bidi="vi-VN"/>
              </w:rPr>
              <w:t>143.116 USD – 163.560 USD</w:t>
            </w:r>
          </w:p>
        </w:tc>
        <w:tc>
          <w:tcPr>
            <w:tcW w:w="1427" w:type="dxa"/>
            <w:shd w:val="clear" w:color="auto" w:fill="auto"/>
            <w:noWrap/>
            <w:vAlign w:val="center"/>
            <w:hideMark/>
          </w:tcPr>
          <w:p w14:paraId="03B984E4" w14:textId="77777777" w:rsidR="00C410D8" w:rsidRPr="007A0AA8" w:rsidRDefault="00C410D8" w:rsidP="007A0AA8">
            <w:pPr>
              <w:pStyle w:val="NoSpacing"/>
              <w:jc w:val="center"/>
              <w:rPr>
                <w:sz w:val="18"/>
                <w:szCs w:val="18"/>
              </w:rPr>
            </w:pPr>
            <w:r w:rsidRPr="007A0AA8">
              <w:rPr>
                <w:sz w:val="18"/>
                <w:szCs w:val="18"/>
                <w:lang w:val="vi-VN" w:bidi="vi-VN"/>
              </w:rPr>
              <w:t>163.561 USD – 204.450 USD</w:t>
            </w:r>
          </w:p>
        </w:tc>
      </w:tr>
      <w:tr w:rsidR="00C410D8" w:rsidRPr="007A0AA8" w14:paraId="03B984EF" w14:textId="77777777" w:rsidTr="007A0AA8">
        <w:trPr>
          <w:trHeight w:val="782"/>
          <w:jc w:val="center"/>
        </w:trPr>
        <w:tc>
          <w:tcPr>
            <w:tcW w:w="1314" w:type="dxa"/>
            <w:shd w:val="clear" w:color="auto" w:fill="auto"/>
            <w:vAlign w:val="center"/>
          </w:tcPr>
          <w:p w14:paraId="03B984E6" w14:textId="77777777" w:rsidR="00C410D8" w:rsidRPr="007A0AA8" w:rsidRDefault="00C410D8" w:rsidP="007A0AA8">
            <w:pPr>
              <w:pStyle w:val="NoSpacing"/>
              <w:jc w:val="center"/>
              <w:rPr>
                <w:sz w:val="18"/>
                <w:szCs w:val="18"/>
              </w:rPr>
            </w:pPr>
            <w:r w:rsidRPr="007A0AA8">
              <w:rPr>
                <w:sz w:val="18"/>
                <w:szCs w:val="18"/>
                <w:lang w:val="vi-VN" w:bidi="vi-VN"/>
              </w:rPr>
              <w:t>Khấu trừ</w:t>
            </w:r>
          </w:p>
        </w:tc>
        <w:tc>
          <w:tcPr>
            <w:tcW w:w="1078" w:type="dxa"/>
            <w:shd w:val="clear" w:color="auto" w:fill="auto"/>
            <w:vAlign w:val="center"/>
          </w:tcPr>
          <w:p w14:paraId="03B984E7" w14:textId="77777777" w:rsidR="00C410D8" w:rsidRPr="007A0AA8" w:rsidRDefault="00C410D8" w:rsidP="007A0AA8">
            <w:pPr>
              <w:pStyle w:val="NoSpacing"/>
              <w:jc w:val="center"/>
              <w:rPr>
                <w:sz w:val="18"/>
                <w:szCs w:val="18"/>
              </w:rPr>
            </w:pPr>
            <w:r w:rsidRPr="007A0AA8">
              <w:rPr>
                <w:sz w:val="18"/>
                <w:szCs w:val="18"/>
                <w:lang w:val="vi-VN" w:bidi="vi-VN"/>
              </w:rPr>
              <w:t>100% dư nợ</w:t>
            </w:r>
          </w:p>
        </w:tc>
        <w:tc>
          <w:tcPr>
            <w:tcW w:w="250" w:type="dxa"/>
            <w:tcBorders>
              <w:top w:val="nil"/>
              <w:bottom w:val="nil"/>
            </w:tcBorders>
            <w:shd w:val="clear" w:color="auto" w:fill="auto"/>
            <w:vAlign w:val="center"/>
          </w:tcPr>
          <w:p w14:paraId="03B984E8" w14:textId="77777777" w:rsidR="00C410D8" w:rsidRPr="007A0AA8" w:rsidRDefault="00C410D8" w:rsidP="007A0AA8">
            <w:pPr>
              <w:pStyle w:val="NoSpacing"/>
              <w:jc w:val="center"/>
              <w:rPr>
                <w:sz w:val="18"/>
                <w:szCs w:val="18"/>
              </w:rPr>
            </w:pPr>
          </w:p>
        </w:tc>
        <w:tc>
          <w:tcPr>
            <w:tcW w:w="1510" w:type="dxa"/>
            <w:shd w:val="clear" w:color="auto" w:fill="auto"/>
            <w:noWrap/>
            <w:vAlign w:val="center"/>
            <w:hideMark/>
          </w:tcPr>
          <w:p w14:paraId="03B984E9" w14:textId="77777777" w:rsidR="00C410D8" w:rsidRPr="007A0AA8" w:rsidRDefault="00C410D8" w:rsidP="007A0AA8">
            <w:pPr>
              <w:pStyle w:val="NoSpacing"/>
              <w:jc w:val="center"/>
              <w:rPr>
                <w:sz w:val="18"/>
                <w:szCs w:val="18"/>
              </w:rPr>
            </w:pPr>
            <w:r w:rsidRPr="007A0AA8">
              <w:rPr>
                <w:sz w:val="18"/>
                <w:szCs w:val="18"/>
                <w:lang w:val="vi-VN" w:bidi="vi-VN"/>
              </w:rPr>
              <w:t>Khấu trừ</w:t>
            </w:r>
          </w:p>
        </w:tc>
        <w:tc>
          <w:tcPr>
            <w:tcW w:w="1420" w:type="dxa"/>
            <w:shd w:val="clear" w:color="auto" w:fill="auto"/>
            <w:noWrap/>
            <w:vAlign w:val="center"/>
            <w:hideMark/>
          </w:tcPr>
          <w:p w14:paraId="03B984EA" w14:textId="77777777" w:rsidR="00C410D8" w:rsidRPr="007A0AA8" w:rsidRDefault="00C410D8" w:rsidP="007A0AA8">
            <w:pPr>
              <w:pStyle w:val="NoSpacing"/>
              <w:jc w:val="center"/>
              <w:rPr>
                <w:sz w:val="18"/>
                <w:szCs w:val="18"/>
              </w:rPr>
            </w:pPr>
            <w:r w:rsidRPr="007A0AA8">
              <w:rPr>
                <w:sz w:val="18"/>
                <w:szCs w:val="18"/>
                <w:lang w:val="vi-VN" w:bidi="vi-VN"/>
              </w:rPr>
              <w:t>95% dư nợ</w:t>
            </w:r>
          </w:p>
        </w:tc>
        <w:tc>
          <w:tcPr>
            <w:tcW w:w="1426" w:type="dxa"/>
            <w:shd w:val="clear" w:color="auto" w:fill="auto"/>
            <w:noWrap/>
            <w:vAlign w:val="center"/>
            <w:hideMark/>
          </w:tcPr>
          <w:p w14:paraId="03B984EB" w14:textId="77777777" w:rsidR="00C410D8" w:rsidRPr="007A0AA8" w:rsidRDefault="00C410D8" w:rsidP="007A0AA8">
            <w:pPr>
              <w:pStyle w:val="NoSpacing"/>
              <w:jc w:val="center"/>
              <w:rPr>
                <w:sz w:val="18"/>
                <w:szCs w:val="18"/>
              </w:rPr>
            </w:pPr>
            <w:r w:rsidRPr="007A0AA8">
              <w:rPr>
                <w:sz w:val="18"/>
                <w:szCs w:val="18"/>
                <w:lang w:val="vi-VN" w:bidi="vi-VN"/>
              </w:rPr>
              <w:t>90% dư nợ</w:t>
            </w:r>
          </w:p>
        </w:tc>
        <w:tc>
          <w:tcPr>
            <w:tcW w:w="1426" w:type="dxa"/>
            <w:shd w:val="clear" w:color="auto" w:fill="auto"/>
            <w:noWrap/>
            <w:vAlign w:val="center"/>
            <w:hideMark/>
          </w:tcPr>
          <w:p w14:paraId="03B984EC" w14:textId="77777777" w:rsidR="00C410D8" w:rsidRPr="007A0AA8" w:rsidRDefault="00C410D8" w:rsidP="007A0AA8">
            <w:pPr>
              <w:pStyle w:val="NoSpacing"/>
              <w:jc w:val="center"/>
              <w:rPr>
                <w:sz w:val="18"/>
                <w:szCs w:val="18"/>
              </w:rPr>
            </w:pPr>
            <w:r w:rsidRPr="007A0AA8">
              <w:rPr>
                <w:sz w:val="18"/>
                <w:szCs w:val="18"/>
                <w:lang w:val="vi-VN" w:bidi="vi-VN"/>
              </w:rPr>
              <w:t>85% dư nợ</w:t>
            </w:r>
          </w:p>
        </w:tc>
        <w:tc>
          <w:tcPr>
            <w:tcW w:w="1426" w:type="dxa"/>
            <w:shd w:val="clear" w:color="auto" w:fill="auto"/>
            <w:noWrap/>
            <w:vAlign w:val="center"/>
            <w:hideMark/>
          </w:tcPr>
          <w:p w14:paraId="03B984ED" w14:textId="77777777" w:rsidR="00C410D8" w:rsidRPr="007A0AA8" w:rsidRDefault="00C410D8" w:rsidP="007A0AA8">
            <w:pPr>
              <w:pStyle w:val="NoSpacing"/>
              <w:jc w:val="center"/>
              <w:rPr>
                <w:sz w:val="18"/>
                <w:szCs w:val="18"/>
              </w:rPr>
            </w:pPr>
            <w:r w:rsidRPr="007A0AA8">
              <w:rPr>
                <w:sz w:val="18"/>
                <w:szCs w:val="18"/>
                <w:lang w:val="vi-VN" w:bidi="vi-VN"/>
              </w:rPr>
              <w:t>80% dư nợ</w:t>
            </w:r>
          </w:p>
        </w:tc>
        <w:tc>
          <w:tcPr>
            <w:tcW w:w="1427" w:type="dxa"/>
            <w:shd w:val="clear" w:color="auto" w:fill="auto"/>
            <w:noWrap/>
            <w:vAlign w:val="center"/>
            <w:hideMark/>
          </w:tcPr>
          <w:p w14:paraId="03B984EE" w14:textId="77777777" w:rsidR="00C410D8" w:rsidRPr="007A0AA8" w:rsidRDefault="00C410D8" w:rsidP="007A0AA8">
            <w:pPr>
              <w:pStyle w:val="NoSpacing"/>
              <w:jc w:val="center"/>
              <w:rPr>
                <w:sz w:val="18"/>
                <w:szCs w:val="18"/>
              </w:rPr>
            </w:pPr>
            <w:r w:rsidRPr="007A0AA8">
              <w:rPr>
                <w:sz w:val="18"/>
                <w:szCs w:val="18"/>
                <w:lang w:val="vi-VN" w:bidi="vi-VN"/>
              </w:rPr>
              <w:t>75% dư nợ</w:t>
            </w:r>
          </w:p>
        </w:tc>
      </w:tr>
    </w:tbl>
    <w:p w14:paraId="03B984F0" w14:textId="77777777" w:rsidR="00C410D8" w:rsidRPr="005F1901" w:rsidRDefault="00C410D8" w:rsidP="003D6086">
      <w:pPr>
        <w:pStyle w:val="NoSpacing"/>
      </w:pPr>
    </w:p>
    <w:tbl>
      <w:tblPr>
        <w:tblW w:w="11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064"/>
        <w:gridCol w:w="3211"/>
      </w:tblGrid>
      <w:tr w:rsidR="00C410D8" w:rsidRPr="007A0AA8" w14:paraId="03B984F3" w14:textId="77777777" w:rsidTr="003D6086">
        <w:trPr>
          <w:trHeight w:val="710"/>
          <w:jc w:val="center"/>
        </w:trPr>
        <w:tc>
          <w:tcPr>
            <w:tcW w:w="11275" w:type="dxa"/>
            <w:gridSpan w:val="2"/>
            <w:shd w:val="clear" w:color="auto" w:fill="auto"/>
            <w:vAlign w:val="center"/>
          </w:tcPr>
          <w:p w14:paraId="03B984F1" w14:textId="77777777" w:rsidR="00C410D8" w:rsidRPr="007A0AA8" w:rsidRDefault="00C410D8" w:rsidP="003D6086">
            <w:pPr>
              <w:pStyle w:val="NoSpacing"/>
              <w:rPr>
                <w:sz w:val="18"/>
                <w:szCs w:val="22"/>
              </w:rPr>
            </w:pPr>
            <w:r w:rsidRPr="007A0AA8">
              <w:rPr>
                <w:sz w:val="18"/>
                <w:szCs w:val="22"/>
                <w:lang w:val="vi-VN" w:bidi="vi-VN"/>
              </w:rPr>
              <w:t>Nghèo thê thảm về mặt y tế</w:t>
            </w:r>
          </w:p>
          <w:p w14:paraId="03B984F2" w14:textId="77777777" w:rsidR="00C410D8" w:rsidRPr="007A0AA8" w:rsidRDefault="00C410D8" w:rsidP="003D6086">
            <w:pPr>
              <w:pStyle w:val="NoSpacing"/>
              <w:rPr>
                <w:sz w:val="18"/>
                <w:szCs w:val="22"/>
              </w:rPr>
            </w:pPr>
            <w:r w:rsidRPr="007A0AA8">
              <w:rPr>
                <w:sz w:val="18"/>
                <w:szCs w:val="22"/>
                <w:lang w:val="vi-VN" w:bidi="vi-VN"/>
              </w:rPr>
              <w:t>Nếu thu nhập Hàng năm của Bệnh nhân vượt quá 500% Hướng dẫn Mức nghèo của Liên bang</w:t>
            </w:r>
          </w:p>
        </w:tc>
      </w:tr>
      <w:tr w:rsidR="00C410D8" w:rsidRPr="007A0AA8" w14:paraId="03B984F6" w14:textId="77777777" w:rsidTr="003D6086">
        <w:trPr>
          <w:jc w:val="center"/>
        </w:trPr>
        <w:tc>
          <w:tcPr>
            <w:tcW w:w="8064" w:type="dxa"/>
            <w:shd w:val="clear" w:color="auto" w:fill="auto"/>
            <w:vAlign w:val="center"/>
          </w:tcPr>
          <w:p w14:paraId="03B984F4" w14:textId="77777777" w:rsidR="00C410D8" w:rsidRPr="007A0AA8" w:rsidRDefault="00C410D8" w:rsidP="003D6086">
            <w:pPr>
              <w:pStyle w:val="NoSpacing"/>
              <w:jc w:val="center"/>
              <w:rPr>
                <w:sz w:val="18"/>
                <w:szCs w:val="22"/>
              </w:rPr>
            </w:pPr>
            <w:r w:rsidRPr="007A0AA8">
              <w:rPr>
                <w:sz w:val="18"/>
                <w:szCs w:val="22"/>
                <w:lang w:val="vi-VN" w:bidi="vi-VN"/>
              </w:rPr>
              <w:t>Dư nợ</w:t>
            </w:r>
          </w:p>
        </w:tc>
        <w:tc>
          <w:tcPr>
            <w:tcW w:w="3211" w:type="dxa"/>
            <w:shd w:val="clear" w:color="auto" w:fill="auto"/>
            <w:vAlign w:val="center"/>
          </w:tcPr>
          <w:p w14:paraId="03B984F5" w14:textId="77777777" w:rsidR="00C410D8" w:rsidRPr="007A0AA8" w:rsidRDefault="00C410D8" w:rsidP="003D6086">
            <w:pPr>
              <w:pStyle w:val="NoSpacing"/>
              <w:jc w:val="center"/>
              <w:rPr>
                <w:sz w:val="18"/>
                <w:szCs w:val="22"/>
              </w:rPr>
            </w:pPr>
            <w:r w:rsidRPr="007A0AA8">
              <w:rPr>
                <w:sz w:val="18"/>
                <w:szCs w:val="22"/>
                <w:lang w:val="vi-VN" w:bidi="vi-VN"/>
              </w:rPr>
              <w:t>Khấu trừ</w:t>
            </w:r>
          </w:p>
        </w:tc>
      </w:tr>
      <w:tr w:rsidR="00C410D8" w:rsidRPr="007A0AA8" w14:paraId="03B984F9" w14:textId="77777777" w:rsidTr="007A0AA8">
        <w:trPr>
          <w:jc w:val="center"/>
        </w:trPr>
        <w:tc>
          <w:tcPr>
            <w:tcW w:w="8064" w:type="dxa"/>
            <w:shd w:val="clear" w:color="auto" w:fill="auto"/>
            <w:vAlign w:val="bottom"/>
          </w:tcPr>
          <w:p w14:paraId="03B984F7" w14:textId="77777777" w:rsidR="00C410D8" w:rsidRPr="007A0AA8" w:rsidRDefault="00C410D8" w:rsidP="003D6086">
            <w:pPr>
              <w:pStyle w:val="NoSpacing"/>
              <w:rPr>
                <w:sz w:val="18"/>
                <w:szCs w:val="22"/>
              </w:rPr>
            </w:pPr>
            <w:r w:rsidRPr="007A0AA8">
              <w:rPr>
                <w:sz w:val="18"/>
                <w:szCs w:val="22"/>
                <w:lang w:val="vi-VN" w:bidi="vi-VN"/>
              </w:rPr>
              <w:t>Dư nợ bằng hoặc lớn hơn 100% Thu nhập Hàng năm của bệnh nhân</w:t>
            </w:r>
          </w:p>
        </w:tc>
        <w:tc>
          <w:tcPr>
            <w:tcW w:w="3211" w:type="dxa"/>
            <w:shd w:val="clear" w:color="auto" w:fill="auto"/>
            <w:vAlign w:val="bottom"/>
          </w:tcPr>
          <w:p w14:paraId="03B984F8" w14:textId="77777777" w:rsidR="00C410D8" w:rsidRPr="007A0AA8" w:rsidRDefault="000532B0" w:rsidP="007A0AA8">
            <w:pPr>
              <w:pStyle w:val="NoSpacing"/>
              <w:jc w:val="center"/>
              <w:rPr>
                <w:sz w:val="18"/>
                <w:szCs w:val="22"/>
              </w:rPr>
            </w:pPr>
            <w:r w:rsidRPr="007A0AA8">
              <w:rPr>
                <w:sz w:val="18"/>
                <w:szCs w:val="22"/>
                <w:lang w:val="vi-VN" w:bidi="vi-VN"/>
              </w:rPr>
              <w:t>95% dư nợ</w:t>
            </w:r>
          </w:p>
        </w:tc>
      </w:tr>
      <w:tr w:rsidR="00C410D8" w:rsidRPr="007A0AA8" w14:paraId="03B984FC" w14:textId="77777777" w:rsidTr="007A0AA8">
        <w:trPr>
          <w:jc w:val="center"/>
        </w:trPr>
        <w:tc>
          <w:tcPr>
            <w:tcW w:w="8064" w:type="dxa"/>
            <w:shd w:val="clear" w:color="auto" w:fill="auto"/>
            <w:vAlign w:val="bottom"/>
          </w:tcPr>
          <w:p w14:paraId="03B984FA" w14:textId="77777777" w:rsidR="00C410D8" w:rsidRPr="007A0AA8" w:rsidRDefault="00C410D8" w:rsidP="003D6086">
            <w:pPr>
              <w:pStyle w:val="NoSpacing"/>
              <w:rPr>
                <w:sz w:val="18"/>
                <w:szCs w:val="22"/>
              </w:rPr>
            </w:pPr>
            <w:r w:rsidRPr="007A0AA8">
              <w:rPr>
                <w:sz w:val="18"/>
                <w:szCs w:val="22"/>
                <w:lang w:val="vi-VN" w:bidi="vi-VN"/>
              </w:rPr>
              <w:t>Dư nợ lớn hơn 80% và nhỏ hơn 100% Thu nhập Hàng năm của bệnh nhân</w:t>
            </w:r>
          </w:p>
        </w:tc>
        <w:tc>
          <w:tcPr>
            <w:tcW w:w="3211" w:type="dxa"/>
            <w:shd w:val="clear" w:color="auto" w:fill="auto"/>
            <w:vAlign w:val="bottom"/>
          </w:tcPr>
          <w:p w14:paraId="03B984FB" w14:textId="77777777" w:rsidR="00C410D8" w:rsidRPr="007A0AA8" w:rsidRDefault="000532B0" w:rsidP="007A0AA8">
            <w:pPr>
              <w:pStyle w:val="NoSpacing"/>
              <w:jc w:val="center"/>
              <w:rPr>
                <w:sz w:val="18"/>
                <w:szCs w:val="22"/>
              </w:rPr>
            </w:pPr>
            <w:r w:rsidRPr="007A0AA8">
              <w:rPr>
                <w:sz w:val="18"/>
                <w:szCs w:val="22"/>
                <w:lang w:val="vi-VN" w:bidi="vi-VN"/>
              </w:rPr>
              <w:t>90% dư nợ</w:t>
            </w:r>
          </w:p>
        </w:tc>
      </w:tr>
      <w:tr w:rsidR="00C410D8" w:rsidRPr="007A0AA8" w14:paraId="03B984FF" w14:textId="77777777" w:rsidTr="007A0AA8">
        <w:trPr>
          <w:jc w:val="center"/>
        </w:trPr>
        <w:tc>
          <w:tcPr>
            <w:tcW w:w="8064" w:type="dxa"/>
            <w:shd w:val="clear" w:color="auto" w:fill="auto"/>
            <w:vAlign w:val="bottom"/>
          </w:tcPr>
          <w:p w14:paraId="03B984FD" w14:textId="77777777" w:rsidR="00C410D8" w:rsidRPr="007A0AA8" w:rsidRDefault="00C410D8" w:rsidP="003D6086">
            <w:pPr>
              <w:pStyle w:val="NoSpacing"/>
              <w:rPr>
                <w:sz w:val="18"/>
                <w:szCs w:val="22"/>
              </w:rPr>
            </w:pPr>
            <w:r w:rsidRPr="007A0AA8">
              <w:rPr>
                <w:sz w:val="18"/>
                <w:szCs w:val="22"/>
                <w:lang w:val="vi-VN" w:bidi="vi-VN"/>
              </w:rPr>
              <w:t>Dư nợ lớn hơn 60% và nhỏ hơn 80% Thu nhập Hàng năm của bệnh nhân</w:t>
            </w:r>
          </w:p>
        </w:tc>
        <w:tc>
          <w:tcPr>
            <w:tcW w:w="3211" w:type="dxa"/>
            <w:shd w:val="clear" w:color="auto" w:fill="auto"/>
            <w:vAlign w:val="bottom"/>
          </w:tcPr>
          <w:p w14:paraId="03B984FE" w14:textId="77777777" w:rsidR="00C410D8" w:rsidRPr="007A0AA8" w:rsidRDefault="000532B0" w:rsidP="007A0AA8">
            <w:pPr>
              <w:pStyle w:val="NoSpacing"/>
              <w:jc w:val="center"/>
              <w:rPr>
                <w:sz w:val="18"/>
                <w:szCs w:val="22"/>
              </w:rPr>
            </w:pPr>
            <w:r w:rsidRPr="007A0AA8">
              <w:rPr>
                <w:sz w:val="18"/>
                <w:szCs w:val="22"/>
                <w:lang w:val="vi-VN" w:bidi="vi-VN"/>
              </w:rPr>
              <w:t>85% dư nợ</w:t>
            </w:r>
          </w:p>
        </w:tc>
      </w:tr>
      <w:tr w:rsidR="00C410D8" w:rsidRPr="007A0AA8" w14:paraId="03B98502" w14:textId="77777777" w:rsidTr="007A0AA8">
        <w:trPr>
          <w:jc w:val="center"/>
        </w:trPr>
        <w:tc>
          <w:tcPr>
            <w:tcW w:w="8064" w:type="dxa"/>
            <w:shd w:val="clear" w:color="auto" w:fill="auto"/>
            <w:vAlign w:val="bottom"/>
          </w:tcPr>
          <w:p w14:paraId="03B98500" w14:textId="77777777" w:rsidR="00C410D8" w:rsidRPr="007A0AA8" w:rsidRDefault="000532B0" w:rsidP="003D6086">
            <w:pPr>
              <w:pStyle w:val="NoSpacing"/>
              <w:rPr>
                <w:sz w:val="18"/>
                <w:szCs w:val="22"/>
              </w:rPr>
            </w:pPr>
            <w:r w:rsidRPr="007A0AA8">
              <w:rPr>
                <w:sz w:val="18"/>
                <w:szCs w:val="22"/>
                <w:lang w:val="vi-VN" w:bidi="vi-VN"/>
              </w:rPr>
              <w:t>Dư nợ lớn hơn 40% và nhỏ hơn 60% Thu nhập Hàng năm của bệnh nhân</w:t>
            </w:r>
          </w:p>
        </w:tc>
        <w:tc>
          <w:tcPr>
            <w:tcW w:w="3211" w:type="dxa"/>
            <w:shd w:val="clear" w:color="auto" w:fill="auto"/>
            <w:vAlign w:val="bottom"/>
          </w:tcPr>
          <w:p w14:paraId="03B98501" w14:textId="77777777" w:rsidR="00C410D8" w:rsidRPr="007A0AA8" w:rsidRDefault="000532B0" w:rsidP="007A0AA8">
            <w:pPr>
              <w:pStyle w:val="NoSpacing"/>
              <w:jc w:val="center"/>
              <w:rPr>
                <w:sz w:val="18"/>
                <w:szCs w:val="22"/>
              </w:rPr>
            </w:pPr>
            <w:r w:rsidRPr="007A0AA8">
              <w:rPr>
                <w:sz w:val="18"/>
                <w:szCs w:val="22"/>
                <w:lang w:val="vi-VN" w:bidi="vi-VN"/>
              </w:rPr>
              <w:t>80% dư nợ</w:t>
            </w:r>
          </w:p>
        </w:tc>
      </w:tr>
      <w:tr w:rsidR="00C410D8" w:rsidRPr="007A0AA8" w14:paraId="03B98505" w14:textId="77777777" w:rsidTr="007A0AA8">
        <w:trPr>
          <w:jc w:val="center"/>
        </w:trPr>
        <w:tc>
          <w:tcPr>
            <w:tcW w:w="8064" w:type="dxa"/>
            <w:shd w:val="clear" w:color="auto" w:fill="auto"/>
            <w:vAlign w:val="bottom"/>
          </w:tcPr>
          <w:p w14:paraId="03B98503" w14:textId="77777777" w:rsidR="00C410D8" w:rsidRPr="007A0AA8" w:rsidRDefault="00C410D8" w:rsidP="003D6086">
            <w:pPr>
              <w:pStyle w:val="NoSpacing"/>
              <w:rPr>
                <w:sz w:val="18"/>
                <w:szCs w:val="22"/>
              </w:rPr>
            </w:pPr>
            <w:r w:rsidRPr="007A0AA8">
              <w:rPr>
                <w:sz w:val="18"/>
                <w:szCs w:val="22"/>
                <w:lang w:val="vi-VN" w:bidi="vi-VN"/>
              </w:rPr>
              <w:t>Dư nợ lớn hơn 20% và nhỏ hơn 40% Thu nhập Hàng năm của bệnh nhân</w:t>
            </w:r>
          </w:p>
        </w:tc>
        <w:tc>
          <w:tcPr>
            <w:tcW w:w="3211" w:type="dxa"/>
            <w:shd w:val="clear" w:color="auto" w:fill="auto"/>
            <w:vAlign w:val="bottom"/>
          </w:tcPr>
          <w:p w14:paraId="03B98504" w14:textId="77777777" w:rsidR="00C410D8" w:rsidRPr="007A0AA8" w:rsidRDefault="00C410D8" w:rsidP="007A0AA8">
            <w:pPr>
              <w:pStyle w:val="NoSpacing"/>
              <w:jc w:val="center"/>
              <w:rPr>
                <w:sz w:val="18"/>
                <w:szCs w:val="22"/>
              </w:rPr>
            </w:pPr>
            <w:r w:rsidRPr="007A0AA8">
              <w:rPr>
                <w:sz w:val="18"/>
                <w:szCs w:val="22"/>
                <w:lang w:val="vi-VN" w:bidi="vi-VN"/>
              </w:rPr>
              <w:t>75% dư nợ</w:t>
            </w:r>
          </w:p>
        </w:tc>
      </w:tr>
    </w:tbl>
    <w:p w14:paraId="03B98506" w14:textId="77777777" w:rsidR="003D6086" w:rsidRDefault="003D6086" w:rsidP="005F1901">
      <w:pPr>
        <w:sectPr w:rsidR="003D6086" w:rsidSect="007A0AA8">
          <w:pgSz w:w="12240" w:h="15840"/>
          <w:pgMar w:top="720" w:right="720" w:bottom="720" w:left="720" w:header="720" w:footer="720" w:gutter="0"/>
          <w:cols w:space="720"/>
          <w:docGrid w:linePitch="360"/>
        </w:sectPr>
      </w:pPr>
    </w:p>
    <w:p w14:paraId="03B98507" w14:textId="77777777" w:rsidR="003E5114" w:rsidRPr="006C4438" w:rsidRDefault="001D2DE5" w:rsidP="003D6086">
      <w:pPr>
        <w:pStyle w:val="Title"/>
        <w:rPr>
          <w:b w:val="0"/>
        </w:rPr>
      </w:pPr>
      <w:r w:rsidRPr="006C4438">
        <w:rPr>
          <w:b w:val="0"/>
          <w:lang w:val="vi-VN" w:bidi="vi-VN"/>
        </w:rPr>
        <w:t>CHÍNH SÁCH HỖ TRỢ TÀI CHÍNH</w:t>
      </w:r>
    </w:p>
    <w:p w14:paraId="03B98508" w14:textId="77777777" w:rsidR="003E5114" w:rsidRPr="006C4438" w:rsidRDefault="001D2DE5" w:rsidP="003D6086">
      <w:pPr>
        <w:pStyle w:val="Title"/>
        <w:rPr>
          <w:b w:val="0"/>
        </w:rPr>
      </w:pPr>
      <w:r w:rsidRPr="006C4438">
        <w:rPr>
          <w:b w:val="0"/>
          <w:lang w:val="vi-VN" w:bidi="vi-VN"/>
        </w:rPr>
        <w:t>TÀI LIỆU ĐÍNH KÈM C</w:t>
      </w:r>
    </w:p>
    <w:p w14:paraId="03B98509" w14:textId="77777777" w:rsidR="00DB49D8" w:rsidRPr="006C4438" w:rsidRDefault="001D2DE5" w:rsidP="003D6086">
      <w:pPr>
        <w:pStyle w:val="Title"/>
        <w:rPr>
          <w:b w:val="0"/>
        </w:rPr>
      </w:pPr>
      <w:r w:rsidRPr="006C4438">
        <w:rPr>
          <w:b w:val="0"/>
          <w:lang w:val="vi-VN" w:bidi="vi-VN"/>
        </w:rPr>
        <w:t>DANH SÁCH CÁC ĐỐI TƯỢNG ĐƯỢC BAO TRẢ</w:t>
      </w:r>
    </w:p>
    <w:p w14:paraId="03B9850A" w14:textId="77777777" w:rsidR="00DB49D8" w:rsidRPr="003D6086" w:rsidRDefault="001D2DE5" w:rsidP="006C4438">
      <w:pPr>
        <w:pStyle w:val="Heading4"/>
        <w:spacing w:before="240" w:after="240"/>
      </w:pPr>
      <w:r w:rsidRPr="003D6086">
        <w:rPr>
          <w:lang w:val="vi-VN" w:bidi="vi-VN"/>
        </w:rPr>
        <w:t>Các Bệnh viện mà Texas Health Kiểm soát Hoàn toàn</w:t>
      </w:r>
    </w:p>
    <w:p w14:paraId="03B9850B" w14:textId="77777777" w:rsidR="003E5114" w:rsidRPr="005F1901" w:rsidRDefault="003E5114" w:rsidP="003D6086">
      <w:pPr>
        <w:pStyle w:val="NoSpacing"/>
      </w:pPr>
      <w:r w:rsidRPr="005F1901">
        <w:rPr>
          <w:lang w:val="vi-VN" w:bidi="vi-VN"/>
        </w:rPr>
        <w:t>Texas Health Arlington Memorial Hospital</w:t>
      </w:r>
    </w:p>
    <w:p w14:paraId="03B9850C" w14:textId="77777777" w:rsidR="00B7706F" w:rsidRPr="005F1901" w:rsidRDefault="00B7706F" w:rsidP="003D6086">
      <w:pPr>
        <w:pStyle w:val="NoSpacing"/>
      </w:pPr>
      <w:r w:rsidRPr="005F1901">
        <w:rPr>
          <w:lang w:val="vi-VN" w:bidi="vi-VN"/>
        </w:rPr>
        <w:t>Texas Health Harris Methodist Hospital Azle</w:t>
      </w:r>
    </w:p>
    <w:p w14:paraId="03B9850D" w14:textId="77777777" w:rsidR="00B7706F" w:rsidRPr="005F1901" w:rsidRDefault="00B7706F" w:rsidP="003D6086">
      <w:pPr>
        <w:pStyle w:val="NoSpacing"/>
      </w:pPr>
      <w:r w:rsidRPr="005F1901">
        <w:rPr>
          <w:lang w:val="vi-VN" w:bidi="vi-VN"/>
        </w:rPr>
        <w:t>Texas Health Harris Methodist Hospital Cleburne</w:t>
      </w:r>
    </w:p>
    <w:p w14:paraId="03B9850E" w14:textId="77777777" w:rsidR="003E5114" w:rsidRPr="005F1901" w:rsidRDefault="003E5114" w:rsidP="003D6086">
      <w:pPr>
        <w:pStyle w:val="NoSpacing"/>
      </w:pPr>
      <w:r w:rsidRPr="005F1901">
        <w:rPr>
          <w:lang w:val="vi-VN" w:bidi="vi-VN"/>
        </w:rPr>
        <w:t>Texas Health Harris Methodist Hospital Fort Worth</w:t>
      </w:r>
    </w:p>
    <w:p w14:paraId="03B9850F" w14:textId="77777777" w:rsidR="003E5114" w:rsidRPr="005F1901" w:rsidRDefault="003E5114" w:rsidP="003D6086">
      <w:pPr>
        <w:pStyle w:val="NoSpacing"/>
      </w:pPr>
      <w:r w:rsidRPr="005F1901">
        <w:rPr>
          <w:lang w:val="vi-VN" w:bidi="vi-VN"/>
        </w:rPr>
        <w:t>Texas Health Harris Methodist Hospital Hurst–Euless Bedford</w:t>
      </w:r>
    </w:p>
    <w:p w14:paraId="03B98510" w14:textId="77777777" w:rsidR="003E5114" w:rsidRPr="005F1901" w:rsidRDefault="003E5114" w:rsidP="003D6086">
      <w:pPr>
        <w:pStyle w:val="NoSpacing"/>
      </w:pPr>
      <w:r w:rsidRPr="005F1901">
        <w:rPr>
          <w:lang w:val="vi-VN" w:bidi="vi-VN"/>
        </w:rPr>
        <w:t>Texas Health Harris Methodist Hospital Southwest Fort Worth</w:t>
      </w:r>
    </w:p>
    <w:p w14:paraId="03B98511" w14:textId="77777777" w:rsidR="00B7706F" w:rsidRPr="005F1901" w:rsidRDefault="00B7706F" w:rsidP="003D6086">
      <w:pPr>
        <w:pStyle w:val="NoSpacing"/>
      </w:pPr>
      <w:r w:rsidRPr="005F1901">
        <w:rPr>
          <w:lang w:val="vi-VN" w:bidi="vi-VN"/>
        </w:rPr>
        <w:t>Texas Health Harris Methodist Hospital Stephenville</w:t>
      </w:r>
    </w:p>
    <w:p w14:paraId="03B98512" w14:textId="77777777" w:rsidR="00B7706F" w:rsidRPr="005F1901" w:rsidRDefault="00B7706F" w:rsidP="003D6086">
      <w:pPr>
        <w:pStyle w:val="NoSpacing"/>
      </w:pPr>
      <w:r w:rsidRPr="005F1901">
        <w:rPr>
          <w:lang w:val="vi-VN" w:bidi="vi-VN"/>
        </w:rPr>
        <w:t>Texas Health Harris Specialty Hospital Fort Worth</w:t>
      </w:r>
    </w:p>
    <w:p w14:paraId="03B98513" w14:textId="77777777" w:rsidR="003E5114" w:rsidRPr="005F1901" w:rsidRDefault="003E5114" w:rsidP="003D6086">
      <w:pPr>
        <w:pStyle w:val="NoSpacing"/>
      </w:pPr>
      <w:r w:rsidRPr="005F1901">
        <w:rPr>
          <w:lang w:val="vi-VN" w:bidi="vi-VN"/>
        </w:rPr>
        <w:t>Texas Health Presbyterian Hospital Allen</w:t>
      </w:r>
    </w:p>
    <w:p w14:paraId="03B98514" w14:textId="77777777" w:rsidR="004B089A" w:rsidRDefault="001D2DE5" w:rsidP="003D6086">
      <w:pPr>
        <w:pStyle w:val="NoSpacing"/>
      </w:pPr>
      <w:r w:rsidRPr="005F1901">
        <w:rPr>
          <w:lang w:val="vi-VN" w:bidi="vi-VN"/>
        </w:rPr>
        <w:t>Texas Health Presbyterian Hospital Alliance</w:t>
      </w:r>
    </w:p>
    <w:p w14:paraId="03B98515" w14:textId="77777777" w:rsidR="004B089A" w:rsidRDefault="001D2DE5" w:rsidP="003D6086">
      <w:pPr>
        <w:pStyle w:val="NoSpacing"/>
      </w:pPr>
      <w:r w:rsidRPr="005F1901">
        <w:rPr>
          <w:lang w:val="vi-VN" w:bidi="vi-VN"/>
        </w:rPr>
        <w:t>Texas Health Presbyterian Hospital Dallas</w:t>
      </w:r>
    </w:p>
    <w:p w14:paraId="03B98516" w14:textId="77777777" w:rsidR="001D2DE5" w:rsidRPr="005F1901" w:rsidRDefault="001D2DE5" w:rsidP="003D6086">
      <w:pPr>
        <w:pStyle w:val="NoSpacing"/>
      </w:pPr>
      <w:r w:rsidRPr="005F1901">
        <w:rPr>
          <w:lang w:val="vi-VN" w:bidi="vi-VN"/>
        </w:rPr>
        <w:t>Texas Health Presbyterian Hospital Denton</w:t>
      </w:r>
    </w:p>
    <w:p w14:paraId="03B98517" w14:textId="77777777" w:rsidR="001D2DE5" w:rsidRPr="005F1901" w:rsidRDefault="001D2DE5" w:rsidP="003D6086">
      <w:pPr>
        <w:pStyle w:val="NoSpacing"/>
      </w:pPr>
      <w:r w:rsidRPr="005F1901">
        <w:rPr>
          <w:lang w:val="vi-VN" w:bidi="vi-VN"/>
        </w:rPr>
        <w:t>Texas Health Presbyterian Hospital Kaufman</w:t>
      </w:r>
    </w:p>
    <w:p w14:paraId="03B98518" w14:textId="77777777" w:rsidR="00DB49D8" w:rsidRDefault="001D2DE5" w:rsidP="003D6086">
      <w:pPr>
        <w:pStyle w:val="NoSpacing"/>
      </w:pPr>
      <w:r w:rsidRPr="005F1901">
        <w:rPr>
          <w:lang w:val="vi-VN" w:bidi="vi-VN"/>
        </w:rPr>
        <w:t>Texas Health Presbyterian Hospital Plano</w:t>
      </w:r>
    </w:p>
    <w:p w14:paraId="03B98519" w14:textId="77777777" w:rsidR="00DB49D8" w:rsidRDefault="001D2DE5" w:rsidP="006C4438">
      <w:pPr>
        <w:pStyle w:val="Heading4"/>
        <w:spacing w:before="240" w:after="240"/>
      </w:pPr>
      <w:r w:rsidRPr="005F1901">
        <w:rPr>
          <w:lang w:val="vi-VN" w:bidi="vi-VN"/>
        </w:rPr>
        <w:t>Các Chi nhánh Liên doanh của Texas Health</w:t>
      </w:r>
    </w:p>
    <w:p w14:paraId="03B9851A" w14:textId="77777777" w:rsidR="001D2DE5" w:rsidRPr="005F1901" w:rsidRDefault="00BA5579" w:rsidP="003D6086">
      <w:pPr>
        <w:pStyle w:val="NoSpacing"/>
      </w:pPr>
      <w:r w:rsidRPr="005F1901">
        <w:rPr>
          <w:lang w:val="vi-VN" w:bidi="vi-VN"/>
        </w:rPr>
        <w:t>Physicians Medical Center, LLC (tên kinh doanh: Texas Health Center for Diagnostics &amp; Surgery Plano)</w:t>
      </w:r>
    </w:p>
    <w:p w14:paraId="03B9851B" w14:textId="77777777" w:rsidR="001D2DE5" w:rsidRPr="005F1901" w:rsidRDefault="00BA5579" w:rsidP="003D6086">
      <w:pPr>
        <w:pStyle w:val="NoSpacing"/>
      </w:pPr>
      <w:r w:rsidRPr="005F1901">
        <w:rPr>
          <w:lang w:val="vi-VN" w:bidi="vi-VN"/>
        </w:rPr>
        <w:t>Southlake Specialty Hospital, LLC (tên kinh doanh: Texas Heath Harris Methodist Hospital Southlake)</w:t>
      </w:r>
    </w:p>
    <w:p w14:paraId="03B9851C" w14:textId="77777777" w:rsidR="004B089A" w:rsidRDefault="00BA5579" w:rsidP="003D6086">
      <w:pPr>
        <w:pStyle w:val="NoSpacing"/>
      </w:pPr>
      <w:r w:rsidRPr="005F1901">
        <w:rPr>
          <w:lang w:val="vi-VN" w:bidi="vi-VN"/>
        </w:rPr>
        <w:t>Texas Institute for Surgery LLP, (tên kinh doanh: Texas Institute for Surgery at Texas Health Presbyterian Dallas)</w:t>
      </w:r>
    </w:p>
    <w:p w14:paraId="03B9851D" w14:textId="77777777" w:rsidR="001D2DE5" w:rsidRPr="005F1901" w:rsidRDefault="008748E8" w:rsidP="003D6086">
      <w:pPr>
        <w:pStyle w:val="NoSpacing"/>
      </w:pPr>
      <w:r w:rsidRPr="005F1901">
        <w:rPr>
          <w:lang w:val="vi-VN" w:bidi="vi-VN"/>
        </w:rPr>
        <w:t>Rockwall Regional Hospital, LLC (tên kinh doanh: Texas Health Presbyterian Hospital Rockwall)</w:t>
      </w:r>
    </w:p>
    <w:p w14:paraId="03B9851E" w14:textId="77777777" w:rsidR="000F375A" w:rsidRPr="005F1901" w:rsidRDefault="000F375A" w:rsidP="003D6086">
      <w:pPr>
        <w:pStyle w:val="NoSpacing"/>
      </w:pPr>
      <w:r w:rsidRPr="005F1901">
        <w:rPr>
          <w:lang w:val="vi-VN" w:bidi="vi-VN"/>
        </w:rPr>
        <w:t>Flower Mound Hospital Partners, LLC (tên kinh doanh: Texas Health Presbyterian Hospital Flower Mound</w:t>
      </w:r>
    </w:p>
    <w:p w14:paraId="03B9851F" w14:textId="77777777" w:rsidR="004B089A" w:rsidRDefault="000F375A" w:rsidP="003D6086">
      <w:pPr>
        <w:pStyle w:val="NoSpacing"/>
      </w:pPr>
      <w:r w:rsidRPr="005F1901">
        <w:rPr>
          <w:lang w:val="vi-VN" w:bidi="vi-VN"/>
        </w:rPr>
        <w:t>USMD Hospital at Arlington, LP</w:t>
      </w:r>
    </w:p>
    <w:p w14:paraId="03B98520" w14:textId="77777777" w:rsidR="004B089A" w:rsidRDefault="000F375A" w:rsidP="003D6086">
      <w:pPr>
        <w:pStyle w:val="NoSpacing"/>
      </w:pPr>
      <w:r w:rsidRPr="005F1901">
        <w:rPr>
          <w:lang w:val="vi-VN" w:bidi="vi-VN"/>
        </w:rPr>
        <w:t>USMD Hospital at Fort Worth, LP</w:t>
      </w:r>
    </w:p>
    <w:p w14:paraId="03B98521" w14:textId="77777777" w:rsidR="00DB49D8" w:rsidRDefault="00FF76DF" w:rsidP="003D6086">
      <w:pPr>
        <w:pStyle w:val="NoSpacing"/>
      </w:pPr>
      <w:r w:rsidRPr="005F1901">
        <w:rPr>
          <w:lang w:val="vi-VN" w:bidi="vi-VN"/>
        </w:rPr>
        <w:t>AMH Cath Labs, LLC (tên kinh doanh: Texas Health Heart &amp; Vascular Hospital Arlington)</w:t>
      </w:r>
    </w:p>
    <w:p w14:paraId="03B98522" w14:textId="77777777" w:rsidR="00DB49D8" w:rsidRDefault="00E659CC" w:rsidP="005F1901">
      <w:r w:rsidRPr="005F1901">
        <w:rPr>
          <w:lang w:val="vi-VN" w:bidi="vi-VN"/>
        </w:rPr>
        <w:t>Nếu dịch vụ không được bao gồm trong hóa đơn bệnh viện từ một trong số những đối tượng được bao trả liệt kê ở trên, những dịch vụ đó sẽ không được Chính sách Hỗ trợ Tài chính của Texas Health bao trả.</w:t>
      </w:r>
    </w:p>
    <w:p w14:paraId="03B98523" w14:textId="77777777" w:rsidR="00AC46A6" w:rsidRDefault="00AC46A6" w:rsidP="005F1901">
      <w:pPr>
        <w:sectPr w:rsidR="00AC46A6" w:rsidSect="00AC46A6">
          <w:pgSz w:w="12240" w:h="15840"/>
          <w:pgMar w:top="720" w:right="720" w:bottom="1440" w:left="720" w:header="720" w:footer="720" w:gutter="0"/>
          <w:cols w:space="720"/>
          <w:docGrid w:linePitch="360"/>
        </w:sectPr>
      </w:pPr>
    </w:p>
    <w:p w14:paraId="03B98524" w14:textId="77777777" w:rsidR="00DB49D8" w:rsidRPr="006C4438" w:rsidRDefault="00EB3840" w:rsidP="00AC46A6">
      <w:pPr>
        <w:pStyle w:val="Title"/>
        <w:rPr>
          <w:b w:val="0"/>
        </w:rPr>
      </w:pPr>
      <w:r w:rsidRPr="006C4438">
        <w:rPr>
          <w:b w:val="0"/>
          <w:lang w:val="vi-VN" w:bidi="vi-VN"/>
        </w:rPr>
        <w:t>CÁC NHÀ CUNG CẤP/DỊCH VỤ KHÔNG ĐƯỢC BAO TRẢ</w:t>
      </w:r>
    </w:p>
    <w:p w14:paraId="03B98525" w14:textId="77777777" w:rsidR="00DB49D8" w:rsidRPr="00031FAE" w:rsidRDefault="005D605B" w:rsidP="005F1901">
      <w:pPr>
        <w:rPr>
          <w:lang w:val="vi-VN"/>
        </w:rPr>
      </w:pPr>
      <w:r w:rsidRPr="005F1901">
        <w:rPr>
          <w:lang w:val="vi-VN" w:bidi="vi-VN"/>
        </w:rPr>
        <w:t>Một số dịch vụ của chuyên gia và bác sĩ thường được thực hiện cùng với các dịch vụ của bệnh viện theo chỉ dẫn của các bác sĩ điều trị khác nhau. Bệnh nhân có thể được lập hóa đơn riêng cho các dịch vụ được cung cấp bởi bác sĩ điều trị, bác sĩ cấp cứu, bác sĩ X-quang, bác sĩ trực, nhà nghiên cứu bệnh học, bác sĩ chuyên khoa tim, bác sĩ sơ sinh, bác sĩ gây mê và/hoặc các nhà cung cấp khác ngoài bệnh viện.</w:t>
      </w:r>
    </w:p>
    <w:p w14:paraId="03B98526" w14:textId="77777777" w:rsidR="004B089A" w:rsidRPr="00031FAE" w:rsidRDefault="006A1082" w:rsidP="005F1901">
      <w:pPr>
        <w:rPr>
          <w:lang w:val="vi-VN"/>
        </w:rPr>
      </w:pPr>
      <w:r w:rsidRPr="005F1901">
        <w:rPr>
          <w:lang w:val="vi-VN" w:bidi="vi-VN"/>
        </w:rPr>
        <w:t>Chính sách Hỗ trợ Tài chính của Texas Health chỉ áp dụng cho các dịch vụ được cung cấp bởi các đối tượng bệnh viện liệt kê trong tài liệu đính kèm này - những đối tượng đã chấp nhận chính sách này. Bệnh nhân có thể nhận được hóa đơn bổ sung cho các dịch vụ chăm sóc sức khỏe từ các nhà cung cấp khác mà vốn không được bao trả theo chính sách này. Số lượng nhà cung cấp không được bao trả cung cấp dịch vụ khẩn cấp hoặc Chăm sóc Cần thiết Về mặt y tế là rất lớn và thường xuyên thay đổi. Do đó, các loại nhà cung cấp và/hoặc loại hình dịch vụ sau đây đã được xác định là các dịch vụ không được bao trả theo chính sách hỗ trợ tài chính này. Quý vị có thể lấy danh sách miễn phí đầy đủ hơn về các nhà cung cấp không được bao trả theo đối tượng qua mạng hoặc nhận bản in bằng cách gọi tới số 1–682–236–7959.</w:t>
      </w:r>
    </w:p>
    <w:p w14:paraId="03B98527" w14:textId="77777777" w:rsidR="004B089A" w:rsidRPr="00031FAE" w:rsidRDefault="00D02776" w:rsidP="006C4438">
      <w:pPr>
        <w:spacing w:before="360" w:after="240"/>
        <w:rPr>
          <w:lang w:val="vi-VN"/>
        </w:rPr>
      </w:pPr>
      <w:r w:rsidRPr="005F1901">
        <w:rPr>
          <w:lang w:val="vi-VN" w:bidi="vi-VN"/>
        </w:rPr>
        <w:t>Các Nhà cung cấp Không được bao trả gồm các nhóm sau:</w:t>
      </w:r>
    </w:p>
    <w:p w14:paraId="03B98528" w14:textId="77777777" w:rsidR="004B089A" w:rsidRPr="00031FAE" w:rsidRDefault="001741F9" w:rsidP="00AC46A6">
      <w:pPr>
        <w:pStyle w:val="NoSpacing"/>
        <w:rPr>
          <w:lang w:val="vi-VN"/>
        </w:rPr>
      </w:pPr>
      <w:r w:rsidRPr="005F1901">
        <w:rPr>
          <w:lang w:val="vi-VN" w:bidi="vi-VN"/>
        </w:rPr>
        <w:t>Chi phí Xe cấp cứu</w:t>
      </w:r>
    </w:p>
    <w:p w14:paraId="03B98529" w14:textId="77777777" w:rsidR="001741F9" w:rsidRPr="00031FAE" w:rsidRDefault="001741F9" w:rsidP="00AC46A6">
      <w:pPr>
        <w:pStyle w:val="NoSpacing"/>
        <w:rPr>
          <w:lang w:val="vi-VN"/>
        </w:rPr>
      </w:pPr>
      <w:r w:rsidRPr="005F1901">
        <w:rPr>
          <w:lang w:val="vi-VN" w:bidi="vi-VN"/>
        </w:rPr>
        <w:t>Trung tâm Phẫu thuật Lưu động</w:t>
      </w:r>
    </w:p>
    <w:p w14:paraId="03B9852A" w14:textId="77777777" w:rsidR="001741F9" w:rsidRPr="00031FAE" w:rsidRDefault="001741F9" w:rsidP="00AC46A6">
      <w:pPr>
        <w:pStyle w:val="NoSpacing"/>
        <w:rPr>
          <w:lang w:val="vi-VN"/>
        </w:rPr>
      </w:pPr>
      <w:r w:rsidRPr="005F1901">
        <w:rPr>
          <w:lang w:val="vi-VN" w:bidi="vi-VN"/>
        </w:rPr>
        <w:t>Bác sĩ gây mê</w:t>
      </w:r>
    </w:p>
    <w:p w14:paraId="03B9852B" w14:textId="77777777" w:rsidR="004B089A" w:rsidRPr="00031FAE" w:rsidRDefault="00D02776" w:rsidP="00AC46A6">
      <w:pPr>
        <w:pStyle w:val="NoSpacing"/>
        <w:rPr>
          <w:lang w:val="vi-VN"/>
        </w:rPr>
      </w:pPr>
      <w:r w:rsidRPr="005F1901">
        <w:rPr>
          <w:lang w:val="vi-VN" w:bidi="vi-VN"/>
        </w:rPr>
        <w:t>Bác sĩ Điều trị</w:t>
      </w:r>
    </w:p>
    <w:p w14:paraId="03B9852C" w14:textId="77777777" w:rsidR="001741F9" w:rsidRPr="00031FAE" w:rsidRDefault="001741F9" w:rsidP="00AC46A6">
      <w:pPr>
        <w:pStyle w:val="NoSpacing"/>
        <w:rPr>
          <w:lang w:val="vi-VN"/>
        </w:rPr>
      </w:pPr>
      <w:r w:rsidRPr="005F1901">
        <w:rPr>
          <w:lang w:val="vi-VN" w:bidi="vi-VN"/>
        </w:rPr>
        <w:t>Bác sĩ chuyên khoa tim</w:t>
      </w:r>
    </w:p>
    <w:p w14:paraId="03B9852D" w14:textId="77777777" w:rsidR="001741F9" w:rsidRPr="00031FAE" w:rsidRDefault="001741F9" w:rsidP="00AC46A6">
      <w:pPr>
        <w:pStyle w:val="NoSpacing"/>
        <w:rPr>
          <w:lang w:val="vi-VN"/>
        </w:rPr>
      </w:pPr>
      <w:r w:rsidRPr="005F1901">
        <w:rPr>
          <w:lang w:val="vi-VN" w:bidi="vi-VN"/>
        </w:rPr>
        <w:t>Trung tâm Chạy thận</w:t>
      </w:r>
    </w:p>
    <w:p w14:paraId="03B9852E" w14:textId="77777777" w:rsidR="001741F9" w:rsidRPr="00031FAE" w:rsidRDefault="001741F9" w:rsidP="00AC46A6">
      <w:pPr>
        <w:pStyle w:val="NoSpacing"/>
        <w:rPr>
          <w:lang w:val="vi-VN"/>
        </w:rPr>
      </w:pPr>
      <w:r w:rsidRPr="005F1901">
        <w:rPr>
          <w:lang w:val="vi-VN" w:bidi="vi-VN"/>
        </w:rPr>
        <w:t>Thiết bị Y tế Lâu bền (DME)</w:t>
      </w:r>
    </w:p>
    <w:p w14:paraId="03B9852F" w14:textId="77777777" w:rsidR="001741F9" w:rsidRPr="00031FAE" w:rsidRDefault="00F920ED" w:rsidP="00AC46A6">
      <w:pPr>
        <w:pStyle w:val="NoSpacing"/>
        <w:rPr>
          <w:lang w:val="vi-VN"/>
        </w:rPr>
      </w:pPr>
      <w:r w:rsidRPr="005F1901">
        <w:rPr>
          <w:lang w:val="vi-VN" w:bidi="vi-VN"/>
        </w:rPr>
        <w:t>Bác sĩ cấp cứu</w:t>
      </w:r>
    </w:p>
    <w:p w14:paraId="03B98530" w14:textId="77777777" w:rsidR="001741F9" w:rsidRPr="00031FAE" w:rsidRDefault="001741F9" w:rsidP="00AC46A6">
      <w:pPr>
        <w:pStyle w:val="NoSpacing"/>
        <w:rPr>
          <w:lang w:val="vi-VN"/>
        </w:rPr>
      </w:pPr>
      <w:r w:rsidRPr="005F1901">
        <w:rPr>
          <w:lang w:val="vi-VN" w:bidi="vi-VN"/>
        </w:rPr>
        <w:t>Chăm sóc sức khỏe tại gia</w:t>
      </w:r>
    </w:p>
    <w:p w14:paraId="03B98531" w14:textId="77777777" w:rsidR="001741F9" w:rsidRPr="00031FAE" w:rsidRDefault="001741F9" w:rsidP="00AC46A6">
      <w:pPr>
        <w:pStyle w:val="NoSpacing"/>
        <w:rPr>
          <w:lang w:val="vi-VN"/>
        </w:rPr>
      </w:pPr>
      <w:r w:rsidRPr="005F1901">
        <w:rPr>
          <w:lang w:val="vi-VN" w:bidi="vi-VN"/>
        </w:rPr>
        <w:t>Bác sĩ trực</w:t>
      </w:r>
    </w:p>
    <w:p w14:paraId="03B98532" w14:textId="77777777" w:rsidR="001741F9" w:rsidRPr="00031FAE" w:rsidRDefault="001741F9" w:rsidP="00AC46A6">
      <w:pPr>
        <w:pStyle w:val="NoSpacing"/>
        <w:rPr>
          <w:lang w:val="vi-VN"/>
        </w:rPr>
      </w:pPr>
      <w:r w:rsidRPr="005F1901">
        <w:rPr>
          <w:lang w:val="vi-VN" w:bidi="vi-VN"/>
        </w:rPr>
        <w:t>Bác sĩ sơ sinh</w:t>
      </w:r>
    </w:p>
    <w:p w14:paraId="03B98533" w14:textId="77777777" w:rsidR="002F0BC7" w:rsidRPr="00031FAE" w:rsidRDefault="002F0BC7" w:rsidP="00AC46A6">
      <w:pPr>
        <w:pStyle w:val="NoSpacing"/>
        <w:rPr>
          <w:lang w:val="vi-VN"/>
        </w:rPr>
      </w:pPr>
      <w:r w:rsidRPr="005F1901">
        <w:rPr>
          <w:lang w:val="vi-VN" w:bidi="vi-VN"/>
        </w:rPr>
        <w:t>Các nhà cung cấp Chuyên môn Khác</w:t>
      </w:r>
    </w:p>
    <w:p w14:paraId="03B98534" w14:textId="77777777" w:rsidR="00EB3840" w:rsidRPr="00031FAE" w:rsidRDefault="001741F9" w:rsidP="00AC46A6">
      <w:pPr>
        <w:pStyle w:val="NoSpacing"/>
        <w:rPr>
          <w:lang w:val="vi-VN"/>
        </w:rPr>
      </w:pPr>
      <w:r w:rsidRPr="005F1901">
        <w:rPr>
          <w:lang w:val="vi-VN" w:bidi="vi-VN"/>
        </w:rPr>
        <w:t>Phòng thí nghiệm Bên ngoài</w:t>
      </w:r>
    </w:p>
    <w:p w14:paraId="03B98535" w14:textId="77777777" w:rsidR="00EB3840" w:rsidRPr="00031FAE" w:rsidRDefault="00EB3840" w:rsidP="00AC46A6">
      <w:pPr>
        <w:pStyle w:val="NoSpacing"/>
        <w:rPr>
          <w:lang w:val="vi-VN"/>
        </w:rPr>
      </w:pPr>
      <w:r w:rsidRPr="005F1901">
        <w:rPr>
          <w:lang w:val="vi-VN" w:bidi="vi-VN"/>
        </w:rPr>
        <w:t>Nhà nghiên cứu bệnh học</w:t>
      </w:r>
    </w:p>
    <w:p w14:paraId="03B98536" w14:textId="77777777" w:rsidR="002F0BC7" w:rsidRPr="00031FAE" w:rsidRDefault="002F0BC7" w:rsidP="00AC46A6">
      <w:pPr>
        <w:pStyle w:val="NoSpacing"/>
        <w:rPr>
          <w:lang w:val="vi-VN"/>
        </w:rPr>
      </w:pPr>
      <w:r w:rsidRPr="005F1901">
        <w:rPr>
          <w:lang w:val="vi-VN" w:bidi="vi-VN"/>
        </w:rPr>
        <w:t>Bác sĩ</w:t>
      </w:r>
    </w:p>
    <w:p w14:paraId="03B98537" w14:textId="77777777" w:rsidR="00DB49D8" w:rsidRPr="00031FAE" w:rsidRDefault="00F920ED" w:rsidP="00AC46A6">
      <w:pPr>
        <w:pStyle w:val="NoSpacing"/>
        <w:rPr>
          <w:lang w:val="vi-VN"/>
        </w:rPr>
      </w:pPr>
      <w:r w:rsidRPr="005F1901">
        <w:rPr>
          <w:lang w:val="vi-VN" w:bidi="vi-VN"/>
        </w:rPr>
        <w:t>Bác sĩ X-quang</w:t>
      </w:r>
    </w:p>
    <w:p w14:paraId="03B98538" w14:textId="77777777" w:rsidR="00AC46A6" w:rsidRPr="00031FAE" w:rsidRDefault="00AC46A6" w:rsidP="005F1901">
      <w:pPr>
        <w:rPr>
          <w:lang w:val="vi-VN"/>
        </w:rPr>
        <w:sectPr w:rsidR="00AC46A6" w:rsidRPr="00031FAE" w:rsidSect="00AD537B">
          <w:pgSz w:w="12240" w:h="15840"/>
          <w:pgMar w:top="720" w:right="720" w:bottom="1440" w:left="720" w:header="720" w:footer="144" w:gutter="0"/>
          <w:cols w:space="720"/>
          <w:docGrid w:linePitch="360"/>
        </w:sectPr>
      </w:pPr>
    </w:p>
    <w:p w14:paraId="03B98539" w14:textId="77777777" w:rsidR="00035473" w:rsidRPr="002874D8" w:rsidRDefault="00035473" w:rsidP="00AC46A6">
      <w:pPr>
        <w:pStyle w:val="Title"/>
        <w:rPr>
          <w:b w:val="0"/>
          <w:lang w:val="vi-VN"/>
        </w:rPr>
      </w:pPr>
      <w:r w:rsidRPr="002874D8">
        <w:rPr>
          <w:b w:val="0"/>
          <w:lang w:val="vi-VN" w:bidi="vi-VN"/>
        </w:rPr>
        <w:t>TÀI LIỆU ĐÍNH KÈM D</w:t>
      </w:r>
    </w:p>
    <w:p w14:paraId="03B9853A" w14:textId="77777777" w:rsidR="00DB49D8" w:rsidRPr="002874D8" w:rsidRDefault="00E603A3" w:rsidP="00AC46A6">
      <w:pPr>
        <w:pStyle w:val="Title"/>
        <w:rPr>
          <w:b w:val="0"/>
          <w:lang w:val="vi-VN"/>
        </w:rPr>
      </w:pPr>
      <w:r w:rsidRPr="002874D8">
        <w:rPr>
          <w:b w:val="0"/>
          <w:lang w:val="vi-VN" w:bidi="vi-VN"/>
        </w:rPr>
        <w:t>CÁCH TÍNH AGB</w:t>
      </w:r>
    </w:p>
    <w:p w14:paraId="03B9853B" w14:textId="77777777" w:rsidR="00AC46A6" w:rsidRPr="00031FAE" w:rsidRDefault="00AC46A6" w:rsidP="00AC46A6">
      <w:pPr>
        <w:pStyle w:val="NoSpacing"/>
        <w:rPr>
          <w:rFonts w:eastAsia="Courier New"/>
          <w:lang w:val="vi-VN" w:bidi="ar-SA"/>
        </w:rPr>
      </w:pPr>
    </w:p>
    <w:tbl>
      <w:tblPr>
        <w:tblOverlap w:val="never"/>
        <w:tblW w:w="11085" w:type="dxa"/>
        <w:jc w:val="center"/>
        <w:tblLayout w:type="fixed"/>
        <w:tblCellMar>
          <w:left w:w="115" w:type="dxa"/>
          <w:right w:w="115" w:type="dxa"/>
        </w:tblCellMar>
        <w:tblLook w:val="0000" w:firstRow="0" w:lastRow="0" w:firstColumn="0" w:lastColumn="0" w:noHBand="0" w:noVBand="0"/>
      </w:tblPr>
      <w:tblGrid>
        <w:gridCol w:w="4763"/>
        <w:gridCol w:w="1814"/>
        <w:gridCol w:w="1936"/>
        <w:gridCol w:w="1223"/>
        <w:gridCol w:w="1349"/>
      </w:tblGrid>
      <w:tr w:rsidR="00AC46A6" w:rsidRPr="00AC46A6" w14:paraId="03B9853D" w14:textId="77777777" w:rsidTr="00AC46A6">
        <w:trPr>
          <w:trHeight w:val="211"/>
          <w:jc w:val="center"/>
        </w:trPr>
        <w:tc>
          <w:tcPr>
            <w:tcW w:w="11085" w:type="dxa"/>
            <w:gridSpan w:val="5"/>
            <w:shd w:val="clear" w:color="auto" w:fill="FFFFFF"/>
            <w:vAlign w:val="center"/>
          </w:tcPr>
          <w:p w14:paraId="03B9853C" w14:textId="77777777" w:rsidR="00AC46A6" w:rsidRPr="00AC46A6" w:rsidRDefault="00AC46A6" w:rsidP="00AC46A6">
            <w:pPr>
              <w:pStyle w:val="Title"/>
              <w:rPr>
                <w:rFonts w:eastAsia="Courier New"/>
                <w:lang w:bidi="ar-SA"/>
              </w:rPr>
            </w:pPr>
            <w:bookmarkStart w:id="1" w:name="bookmark9"/>
            <w:r w:rsidRPr="00AC46A6">
              <w:rPr>
                <w:rFonts w:eastAsia="Courier New"/>
                <w:lang w:val="vi-VN" w:bidi="vi-VN"/>
              </w:rPr>
              <w:t>Cách tính AGB của Texas Health – 2014</w:t>
            </w:r>
            <w:bookmarkEnd w:id="1"/>
          </w:p>
        </w:tc>
      </w:tr>
      <w:tr w:rsidR="00AC46A6" w:rsidRPr="006C4438" w14:paraId="03B98543" w14:textId="77777777" w:rsidTr="006C4438">
        <w:trPr>
          <w:jc w:val="center"/>
        </w:trPr>
        <w:tc>
          <w:tcPr>
            <w:tcW w:w="4763" w:type="dxa"/>
            <w:shd w:val="clear" w:color="auto" w:fill="FFFFFF"/>
            <w:vAlign w:val="bottom"/>
          </w:tcPr>
          <w:p w14:paraId="03B9853E" w14:textId="77777777" w:rsidR="00AC46A6" w:rsidRPr="006C4438" w:rsidRDefault="00AC46A6" w:rsidP="00AC46A6">
            <w:pPr>
              <w:pStyle w:val="NoSpacing"/>
              <w:rPr>
                <w:rFonts w:eastAsia="Courier New"/>
                <w:b/>
                <w:sz w:val="18"/>
                <w:szCs w:val="18"/>
                <w:lang w:bidi="ar-SA"/>
              </w:rPr>
            </w:pPr>
            <w:r w:rsidRPr="006C4438">
              <w:rPr>
                <w:rFonts w:eastAsia="Courier New"/>
                <w:b/>
                <w:sz w:val="18"/>
                <w:szCs w:val="18"/>
                <w:lang w:val="vi-VN" w:bidi="vi-VN"/>
              </w:rPr>
              <w:t>Bệnh viện/Cơ sở y tế</w:t>
            </w:r>
          </w:p>
        </w:tc>
        <w:tc>
          <w:tcPr>
            <w:tcW w:w="1814" w:type="dxa"/>
            <w:shd w:val="clear" w:color="auto" w:fill="FFFFFF"/>
            <w:vAlign w:val="bottom"/>
          </w:tcPr>
          <w:p w14:paraId="03B9853F" w14:textId="77777777" w:rsidR="00AC46A6" w:rsidRPr="006C4438" w:rsidRDefault="00AC46A6" w:rsidP="00AC46A6">
            <w:pPr>
              <w:pStyle w:val="NoSpacing"/>
              <w:jc w:val="center"/>
              <w:rPr>
                <w:rFonts w:eastAsia="Courier New"/>
                <w:b/>
                <w:bCs/>
                <w:sz w:val="18"/>
                <w:szCs w:val="18"/>
                <w:lang w:bidi="ar-SA"/>
              </w:rPr>
            </w:pPr>
            <w:r w:rsidRPr="006C4438">
              <w:rPr>
                <w:rFonts w:eastAsia="Courier New"/>
                <w:b/>
                <w:sz w:val="18"/>
                <w:szCs w:val="18"/>
                <w:lang w:val="vi-VN" w:bidi="vi-VN"/>
              </w:rPr>
              <w:t>Tổng chi phí*</w:t>
            </w:r>
          </w:p>
        </w:tc>
        <w:tc>
          <w:tcPr>
            <w:tcW w:w="1936" w:type="dxa"/>
            <w:shd w:val="clear" w:color="auto" w:fill="FFFFFF"/>
            <w:vAlign w:val="bottom"/>
          </w:tcPr>
          <w:p w14:paraId="03B98540" w14:textId="77777777" w:rsidR="00AC46A6" w:rsidRPr="006C4438" w:rsidRDefault="00AC46A6" w:rsidP="00AC46A6">
            <w:pPr>
              <w:pStyle w:val="NoSpacing"/>
              <w:jc w:val="center"/>
              <w:rPr>
                <w:rFonts w:eastAsia="Courier New"/>
                <w:b/>
                <w:bCs/>
                <w:sz w:val="18"/>
                <w:szCs w:val="18"/>
                <w:lang w:bidi="ar-SA"/>
              </w:rPr>
            </w:pPr>
            <w:r w:rsidRPr="006C4438">
              <w:rPr>
                <w:rFonts w:eastAsia="Courier New"/>
                <w:b/>
                <w:sz w:val="18"/>
                <w:szCs w:val="18"/>
                <w:lang w:val="vi-VN" w:bidi="vi-VN"/>
              </w:rPr>
              <w:t>Khấu trừ**</w:t>
            </w:r>
          </w:p>
        </w:tc>
        <w:tc>
          <w:tcPr>
            <w:tcW w:w="1223" w:type="dxa"/>
            <w:shd w:val="clear" w:color="auto" w:fill="FFFFFF"/>
            <w:vAlign w:val="bottom"/>
          </w:tcPr>
          <w:p w14:paraId="03B98541" w14:textId="77777777" w:rsidR="00AC46A6" w:rsidRPr="006C4438" w:rsidRDefault="00AC46A6" w:rsidP="00AC46A6">
            <w:pPr>
              <w:pStyle w:val="NoSpacing"/>
              <w:jc w:val="center"/>
              <w:rPr>
                <w:rFonts w:eastAsia="Courier New"/>
                <w:b/>
                <w:bCs/>
                <w:sz w:val="18"/>
                <w:szCs w:val="18"/>
                <w:lang w:bidi="ar-SA"/>
              </w:rPr>
            </w:pPr>
            <w:r w:rsidRPr="006C4438">
              <w:rPr>
                <w:rFonts w:eastAsia="Courier New"/>
                <w:b/>
                <w:sz w:val="18"/>
                <w:szCs w:val="18"/>
                <w:lang w:val="vi-VN" w:bidi="vi-VN"/>
              </w:rPr>
              <w:t>Tỷ lệ Khấu trừ</w:t>
            </w:r>
          </w:p>
        </w:tc>
        <w:tc>
          <w:tcPr>
            <w:tcW w:w="1349" w:type="dxa"/>
            <w:shd w:val="clear" w:color="auto" w:fill="FFFFFF"/>
            <w:vAlign w:val="bottom"/>
          </w:tcPr>
          <w:p w14:paraId="03B98542" w14:textId="77777777" w:rsidR="00AC46A6" w:rsidRPr="006C4438" w:rsidRDefault="00AC46A6" w:rsidP="00AC46A6">
            <w:pPr>
              <w:pStyle w:val="NoSpacing"/>
              <w:jc w:val="right"/>
              <w:rPr>
                <w:rFonts w:eastAsia="Courier New"/>
                <w:b/>
                <w:bCs/>
                <w:sz w:val="18"/>
                <w:szCs w:val="18"/>
                <w:lang w:bidi="ar-SA"/>
              </w:rPr>
            </w:pPr>
            <w:r w:rsidRPr="006C4438">
              <w:rPr>
                <w:rFonts w:eastAsia="Courier New"/>
                <w:b/>
                <w:sz w:val="18"/>
                <w:szCs w:val="18"/>
                <w:lang w:val="vi-VN" w:bidi="vi-VN"/>
              </w:rPr>
              <w:t>Cách tính AGB</w:t>
            </w:r>
          </w:p>
        </w:tc>
      </w:tr>
      <w:tr w:rsidR="00AC46A6" w:rsidRPr="00AC46A6" w14:paraId="03B98549" w14:textId="77777777" w:rsidTr="006C4438">
        <w:trPr>
          <w:jc w:val="center"/>
        </w:trPr>
        <w:tc>
          <w:tcPr>
            <w:tcW w:w="4763" w:type="dxa"/>
            <w:shd w:val="clear" w:color="auto" w:fill="FFFFFF"/>
            <w:vAlign w:val="bottom"/>
          </w:tcPr>
          <w:p w14:paraId="03B98544" w14:textId="77777777" w:rsidR="00AC46A6" w:rsidRPr="00AC46A6" w:rsidRDefault="00AC46A6" w:rsidP="006C4438">
            <w:pPr>
              <w:pStyle w:val="NoSpacing"/>
              <w:spacing w:before="240"/>
              <w:rPr>
                <w:rFonts w:eastAsia="Courier New"/>
                <w:sz w:val="18"/>
                <w:szCs w:val="18"/>
                <w:lang w:bidi="ar-SA"/>
              </w:rPr>
            </w:pPr>
            <w:r w:rsidRPr="00AC46A6">
              <w:rPr>
                <w:rFonts w:eastAsia="Courier New"/>
                <w:sz w:val="18"/>
                <w:szCs w:val="18"/>
                <w:lang w:val="vi-VN" w:bidi="vi-VN"/>
              </w:rPr>
              <w:t>Texas Health Allen</w:t>
            </w:r>
          </w:p>
        </w:tc>
        <w:tc>
          <w:tcPr>
            <w:tcW w:w="1814" w:type="dxa"/>
            <w:tcBorders>
              <w:top w:val="single" w:sz="4" w:space="0" w:color="auto"/>
            </w:tcBorders>
            <w:shd w:val="clear" w:color="auto" w:fill="FFFFFF"/>
            <w:vAlign w:val="bottom"/>
          </w:tcPr>
          <w:p w14:paraId="03B98545" w14:textId="77777777" w:rsidR="00AC46A6" w:rsidRPr="00AC46A6" w:rsidRDefault="00AC46A6" w:rsidP="006C4438">
            <w:pPr>
              <w:pStyle w:val="NoSpacing"/>
              <w:spacing w:before="240"/>
              <w:jc w:val="right"/>
              <w:rPr>
                <w:rFonts w:eastAsia="Courier New"/>
                <w:sz w:val="18"/>
                <w:szCs w:val="18"/>
                <w:lang w:bidi="ar-SA"/>
              </w:rPr>
            </w:pPr>
            <w:r w:rsidRPr="00AC46A6">
              <w:rPr>
                <w:rFonts w:eastAsia="Courier New"/>
                <w:sz w:val="18"/>
                <w:szCs w:val="18"/>
                <w:lang w:val="vi-VN" w:bidi="vi-VN"/>
              </w:rPr>
              <w:t>173.050.478 USD</w:t>
            </w:r>
          </w:p>
        </w:tc>
        <w:tc>
          <w:tcPr>
            <w:tcW w:w="1936" w:type="dxa"/>
            <w:tcBorders>
              <w:top w:val="single" w:sz="4" w:space="0" w:color="auto"/>
            </w:tcBorders>
            <w:shd w:val="clear" w:color="auto" w:fill="FFFFFF"/>
            <w:vAlign w:val="bottom"/>
          </w:tcPr>
          <w:p w14:paraId="03B98546" w14:textId="77777777" w:rsidR="00AC46A6" w:rsidRPr="00AC46A6" w:rsidRDefault="00AC46A6" w:rsidP="006C4438">
            <w:pPr>
              <w:pStyle w:val="NoSpacing"/>
              <w:spacing w:before="240"/>
              <w:jc w:val="right"/>
              <w:rPr>
                <w:rFonts w:eastAsia="Courier New"/>
                <w:sz w:val="18"/>
                <w:szCs w:val="18"/>
                <w:lang w:bidi="ar-SA"/>
              </w:rPr>
            </w:pPr>
            <w:r>
              <w:rPr>
                <w:rFonts w:eastAsia="Courier New"/>
                <w:sz w:val="18"/>
                <w:szCs w:val="18"/>
                <w:lang w:val="vi-VN" w:bidi="vi-VN"/>
              </w:rPr>
              <w:t>–99.426.814 USD</w:t>
            </w:r>
          </w:p>
        </w:tc>
        <w:tc>
          <w:tcPr>
            <w:tcW w:w="1223" w:type="dxa"/>
            <w:tcBorders>
              <w:top w:val="single" w:sz="4" w:space="0" w:color="auto"/>
            </w:tcBorders>
            <w:shd w:val="clear" w:color="auto" w:fill="FFFFFF"/>
            <w:vAlign w:val="bottom"/>
          </w:tcPr>
          <w:p w14:paraId="03B98547" w14:textId="77777777" w:rsidR="00AC46A6" w:rsidRPr="00AC46A6" w:rsidRDefault="00AC46A6" w:rsidP="006C4438">
            <w:pPr>
              <w:pStyle w:val="NoSpacing"/>
              <w:spacing w:before="240"/>
              <w:jc w:val="right"/>
              <w:rPr>
                <w:rFonts w:eastAsia="Courier New"/>
                <w:sz w:val="18"/>
                <w:szCs w:val="18"/>
                <w:lang w:bidi="ar-SA"/>
              </w:rPr>
            </w:pPr>
            <w:r w:rsidRPr="00AC46A6">
              <w:rPr>
                <w:rFonts w:eastAsia="Courier New"/>
                <w:sz w:val="18"/>
                <w:szCs w:val="18"/>
                <w:lang w:val="vi-VN" w:bidi="vi-VN"/>
              </w:rPr>
              <w:t>57,46%</w:t>
            </w:r>
          </w:p>
        </w:tc>
        <w:tc>
          <w:tcPr>
            <w:tcW w:w="1349" w:type="dxa"/>
            <w:tcBorders>
              <w:top w:val="single" w:sz="4" w:space="0" w:color="auto"/>
            </w:tcBorders>
            <w:shd w:val="clear" w:color="auto" w:fill="FFFFFF"/>
            <w:vAlign w:val="bottom"/>
          </w:tcPr>
          <w:p w14:paraId="03B98548" w14:textId="77777777" w:rsidR="00AC46A6" w:rsidRPr="00AC46A6" w:rsidRDefault="00AC46A6" w:rsidP="006C4438">
            <w:pPr>
              <w:pStyle w:val="NoSpacing"/>
              <w:spacing w:before="240"/>
              <w:jc w:val="right"/>
              <w:rPr>
                <w:rFonts w:eastAsia="Courier New"/>
                <w:sz w:val="18"/>
                <w:szCs w:val="18"/>
                <w:lang w:bidi="ar-SA"/>
              </w:rPr>
            </w:pPr>
            <w:r w:rsidRPr="00AC46A6">
              <w:rPr>
                <w:rFonts w:eastAsia="Courier New"/>
                <w:sz w:val="18"/>
                <w:szCs w:val="18"/>
                <w:lang w:val="vi-VN" w:bidi="vi-VN"/>
              </w:rPr>
              <w:t>42,54%</w:t>
            </w:r>
          </w:p>
        </w:tc>
      </w:tr>
      <w:tr w:rsidR="00AC46A6" w:rsidRPr="00AC46A6" w14:paraId="03B9854F" w14:textId="77777777" w:rsidTr="006C4438">
        <w:trPr>
          <w:jc w:val="center"/>
        </w:trPr>
        <w:tc>
          <w:tcPr>
            <w:tcW w:w="4763" w:type="dxa"/>
            <w:shd w:val="clear" w:color="auto" w:fill="FFFFFF"/>
            <w:vAlign w:val="bottom"/>
          </w:tcPr>
          <w:p w14:paraId="03B9854A"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vi-VN" w:bidi="vi-VN"/>
              </w:rPr>
              <w:t>Texas Health Alliance</w:t>
            </w:r>
          </w:p>
        </w:tc>
        <w:tc>
          <w:tcPr>
            <w:tcW w:w="1814" w:type="dxa"/>
            <w:shd w:val="clear" w:color="auto" w:fill="FFFFFF"/>
            <w:vAlign w:val="bottom"/>
          </w:tcPr>
          <w:p w14:paraId="03B9854B"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180.827.123 USD</w:t>
            </w:r>
          </w:p>
        </w:tc>
        <w:tc>
          <w:tcPr>
            <w:tcW w:w="1936" w:type="dxa"/>
            <w:shd w:val="clear" w:color="auto" w:fill="FFFFFF"/>
            <w:vAlign w:val="bottom"/>
          </w:tcPr>
          <w:p w14:paraId="03B9854C"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vi-VN" w:bidi="vi-VN"/>
              </w:rPr>
              <w:t>–103.193.137 USD</w:t>
            </w:r>
          </w:p>
        </w:tc>
        <w:tc>
          <w:tcPr>
            <w:tcW w:w="1223" w:type="dxa"/>
            <w:shd w:val="clear" w:color="auto" w:fill="FFFFFF"/>
            <w:vAlign w:val="bottom"/>
          </w:tcPr>
          <w:p w14:paraId="03B9854D"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57,07%</w:t>
            </w:r>
          </w:p>
        </w:tc>
        <w:tc>
          <w:tcPr>
            <w:tcW w:w="1349" w:type="dxa"/>
            <w:shd w:val="clear" w:color="auto" w:fill="FFFFFF"/>
            <w:vAlign w:val="bottom"/>
          </w:tcPr>
          <w:p w14:paraId="03B9854E"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42,93%</w:t>
            </w:r>
          </w:p>
        </w:tc>
      </w:tr>
      <w:tr w:rsidR="00AC46A6" w:rsidRPr="00AC46A6" w14:paraId="03B98555" w14:textId="77777777" w:rsidTr="006C4438">
        <w:trPr>
          <w:jc w:val="center"/>
        </w:trPr>
        <w:tc>
          <w:tcPr>
            <w:tcW w:w="4763" w:type="dxa"/>
            <w:shd w:val="clear" w:color="auto" w:fill="FFFFFF"/>
            <w:vAlign w:val="bottom"/>
          </w:tcPr>
          <w:p w14:paraId="03B98550"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vi-VN" w:bidi="vi-VN"/>
              </w:rPr>
              <w:t>Texas Health Arlington Memorial</w:t>
            </w:r>
          </w:p>
        </w:tc>
        <w:tc>
          <w:tcPr>
            <w:tcW w:w="1814" w:type="dxa"/>
            <w:shd w:val="clear" w:color="auto" w:fill="FFFFFF"/>
            <w:vAlign w:val="bottom"/>
          </w:tcPr>
          <w:p w14:paraId="03B98551"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650.373.517 USD</w:t>
            </w:r>
          </w:p>
        </w:tc>
        <w:tc>
          <w:tcPr>
            <w:tcW w:w="1936" w:type="dxa"/>
            <w:shd w:val="clear" w:color="auto" w:fill="FFFFFF"/>
            <w:vAlign w:val="bottom"/>
          </w:tcPr>
          <w:p w14:paraId="03B98552"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vi-VN" w:bidi="vi-VN"/>
              </w:rPr>
              <w:t>–438.999.562 USD</w:t>
            </w:r>
          </w:p>
        </w:tc>
        <w:tc>
          <w:tcPr>
            <w:tcW w:w="1223" w:type="dxa"/>
            <w:shd w:val="clear" w:color="auto" w:fill="FFFFFF"/>
            <w:vAlign w:val="bottom"/>
          </w:tcPr>
          <w:p w14:paraId="03B98553"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67,50%</w:t>
            </w:r>
          </w:p>
        </w:tc>
        <w:tc>
          <w:tcPr>
            <w:tcW w:w="1349" w:type="dxa"/>
            <w:shd w:val="clear" w:color="auto" w:fill="FFFFFF"/>
            <w:vAlign w:val="bottom"/>
          </w:tcPr>
          <w:p w14:paraId="03B98554"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32,50%</w:t>
            </w:r>
          </w:p>
        </w:tc>
      </w:tr>
      <w:tr w:rsidR="00AC46A6" w:rsidRPr="00AC46A6" w14:paraId="03B9855B" w14:textId="77777777" w:rsidTr="006C4438">
        <w:trPr>
          <w:jc w:val="center"/>
        </w:trPr>
        <w:tc>
          <w:tcPr>
            <w:tcW w:w="4763" w:type="dxa"/>
            <w:shd w:val="clear" w:color="auto" w:fill="FFFFFF"/>
            <w:vAlign w:val="bottom"/>
          </w:tcPr>
          <w:p w14:paraId="03B98556"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vi-VN" w:bidi="vi-VN"/>
              </w:rPr>
              <w:t>Texas Health Azle</w:t>
            </w:r>
          </w:p>
        </w:tc>
        <w:tc>
          <w:tcPr>
            <w:tcW w:w="1814" w:type="dxa"/>
            <w:shd w:val="clear" w:color="auto" w:fill="FFFFFF"/>
            <w:vAlign w:val="bottom"/>
          </w:tcPr>
          <w:p w14:paraId="03B98557"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82.054.155 USD</w:t>
            </w:r>
          </w:p>
        </w:tc>
        <w:tc>
          <w:tcPr>
            <w:tcW w:w="1936" w:type="dxa"/>
            <w:shd w:val="clear" w:color="auto" w:fill="FFFFFF"/>
            <w:vAlign w:val="bottom"/>
          </w:tcPr>
          <w:p w14:paraId="03B98558"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vi-VN" w:bidi="vi-VN"/>
              </w:rPr>
              <w:t>–53.083.810 USD</w:t>
            </w:r>
          </w:p>
        </w:tc>
        <w:tc>
          <w:tcPr>
            <w:tcW w:w="1223" w:type="dxa"/>
            <w:shd w:val="clear" w:color="auto" w:fill="FFFFFF"/>
            <w:vAlign w:val="bottom"/>
          </w:tcPr>
          <w:p w14:paraId="03B98559"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64,69%</w:t>
            </w:r>
          </w:p>
        </w:tc>
        <w:tc>
          <w:tcPr>
            <w:tcW w:w="1349" w:type="dxa"/>
            <w:shd w:val="clear" w:color="auto" w:fill="FFFFFF"/>
            <w:vAlign w:val="bottom"/>
          </w:tcPr>
          <w:p w14:paraId="03B9855A"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35,31%</w:t>
            </w:r>
          </w:p>
        </w:tc>
      </w:tr>
      <w:tr w:rsidR="00AC46A6" w:rsidRPr="00AC46A6" w14:paraId="03B98561" w14:textId="77777777" w:rsidTr="006C4438">
        <w:trPr>
          <w:jc w:val="center"/>
        </w:trPr>
        <w:tc>
          <w:tcPr>
            <w:tcW w:w="4763" w:type="dxa"/>
            <w:shd w:val="clear" w:color="auto" w:fill="FFFFFF"/>
            <w:vAlign w:val="bottom"/>
          </w:tcPr>
          <w:p w14:paraId="03B9855C"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vi-VN" w:bidi="vi-VN"/>
              </w:rPr>
              <w:t>Texas Health Cleburne</w:t>
            </w:r>
          </w:p>
        </w:tc>
        <w:tc>
          <w:tcPr>
            <w:tcW w:w="1814" w:type="dxa"/>
            <w:shd w:val="clear" w:color="auto" w:fill="FFFFFF"/>
            <w:vAlign w:val="bottom"/>
          </w:tcPr>
          <w:p w14:paraId="03B9855D"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179.180.610 USD</w:t>
            </w:r>
          </w:p>
        </w:tc>
        <w:tc>
          <w:tcPr>
            <w:tcW w:w="1936" w:type="dxa"/>
            <w:shd w:val="clear" w:color="auto" w:fill="FFFFFF"/>
            <w:vAlign w:val="bottom"/>
          </w:tcPr>
          <w:p w14:paraId="03B9855E"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vi-VN" w:bidi="vi-VN"/>
              </w:rPr>
              <w:t>–116.963.395 USD</w:t>
            </w:r>
          </w:p>
        </w:tc>
        <w:tc>
          <w:tcPr>
            <w:tcW w:w="1223" w:type="dxa"/>
            <w:shd w:val="clear" w:color="auto" w:fill="FFFFFF"/>
            <w:vAlign w:val="bottom"/>
          </w:tcPr>
          <w:p w14:paraId="03B9855F"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65,28%</w:t>
            </w:r>
          </w:p>
        </w:tc>
        <w:tc>
          <w:tcPr>
            <w:tcW w:w="1349" w:type="dxa"/>
            <w:shd w:val="clear" w:color="auto" w:fill="FFFFFF"/>
            <w:vAlign w:val="bottom"/>
          </w:tcPr>
          <w:p w14:paraId="03B98560"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34,72%</w:t>
            </w:r>
          </w:p>
        </w:tc>
      </w:tr>
      <w:tr w:rsidR="00AC46A6" w:rsidRPr="00AC46A6" w14:paraId="03B98567" w14:textId="77777777" w:rsidTr="006C4438">
        <w:trPr>
          <w:jc w:val="center"/>
        </w:trPr>
        <w:tc>
          <w:tcPr>
            <w:tcW w:w="4763" w:type="dxa"/>
            <w:shd w:val="clear" w:color="auto" w:fill="FFFFFF"/>
            <w:vAlign w:val="bottom"/>
          </w:tcPr>
          <w:p w14:paraId="03B98562"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vi-VN" w:bidi="vi-VN"/>
              </w:rPr>
              <w:t>Texas Health Dallas</w:t>
            </w:r>
          </w:p>
        </w:tc>
        <w:tc>
          <w:tcPr>
            <w:tcW w:w="1814" w:type="dxa"/>
            <w:shd w:val="clear" w:color="auto" w:fill="FFFFFF"/>
            <w:vAlign w:val="bottom"/>
          </w:tcPr>
          <w:p w14:paraId="03B98563"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1.498.528.745 USD</w:t>
            </w:r>
          </w:p>
        </w:tc>
        <w:tc>
          <w:tcPr>
            <w:tcW w:w="1936" w:type="dxa"/>
            <w:shd w:val="clear" w:color="auto" w:fill="FFFFFF"/>
            <w:vAlign w:val="bottom"/>
          </w:tcPr>
          <w:p w14:paraId="03B98564"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vi-VN" w:bidi="vi-VN"/>
              </w:rPr>
              <w:t>–955.095.435 USD</w:t>
            </w:r>
          </w:p>
        </w:tc>
        <w:tc>
          <w:tcPr>
            <w:tcW w:w="1223" w:type="dxa"/>
            <w:shd w:val="clear" w:color="auto" w:fill="FFFFFF"/>
            <w:vAlign w:val="bottom"/>
          </w:tcPr>
          <w:p w14:paraId="03B98565"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63,74%</w:t>
            </w:r>
          </w:p>
        </w:tc>
        <w:tc>
          <w:tcPr>
            <w:tcW w:w="1349" w:type="dxa"/>
            <w:shd w:val="clear" w:color="auto" w:fill="FFFFFF"/>
            <w:vAlign w:val="bottom"/>
          </w:tcPr>
          <w:p w14:paraId="03B98566"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36,26%</w:t>
            </w:r>
          </w:p>
        </w:tc>
      </w:tr>
      <w:tr w:rsidR="00AC46A6" w:rsidRPr="00AC46A6" w14:paraId="03B9856D" w14:textId="77777777" w:rsidTr="006C4438">
        <w:trPr>
          <w:jc w:val="center"/>
        </w:trPr>
        <w:tc>
          <w:tcPr>
            <w:tcW w:w="4763" w:type="dxa"/>
            <w:shd w:val="clear" w:color="auto" w:fill="FFFFFF"/>
            <w:vAlign w:val="bottom"/>
          </w:tcPr>
          <w:p w14:paraId="03B98568"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vi-VN" w:bidi="vi-VN"/>
              </w:rPr>
              <w:t>Texas Health Denton</w:t>
            </w:r>
          </w:p>
        </w:tc>
        <w:tc>
          <w:tcPr>
            <w:tcW w:w="1814" w:type="dxa"/>
            <w:shd w:val="clear" w:color="auto" w:fill="FFFFFF"/>
            <w:vAlign w:val="bottom"/>
          </w:tcPr>
          <w:p w14:paraId="03B98569"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519.809.084 USD</w:t>
            </w:r>
          </w:p>
        </w:tc>
        <w:tc>
          <w:tcPr>
            <w:tcW w:w="1936" w:type="dxa"/>
            <w:shd w:val="clear" w:color="auto" w:fill="FFFFFF"/>
            <w:vAlign w:val="bottom"/>
          </w:tcPr>
          <w:p w14:paraId="03B9856A"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vi-VN" w:bidi="vi-VN"/>
              </w:rPr>
              <w:t>–354.868.857 USD</w:t>
            </w:r>
          </w:p>
        </w:tc>
        <w:tc>
          <w:tcPr>
            <w:tcW w:w="1223" w:type="dxa"/>
            <w:shd w:val="clear" w:color="auto" w:fill="FFFFFF"/>
            <w:vAlign w:val="bottom"/>
          </w:tcPr>
          <w:p w14:paraId="03B9856B"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68,27%</w:t>
            </w:r>
          </w:p>
        </w:tc>
        <w:tc>
          <w:tcPr>
            <w:tcW w:w="1349" w:type="dxa"/>
            <w:shd w:val="clear" w:color="auto" w:fill="FFFFFF"/>
            <w:vAlign w:val="bottom"/>
          </w:tcPr>
          <w:p w14:paraId="03B9856C"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31,73%</w:t>
            </w:r>
          </w:p>
        </w:tc>
      </w:tr>
      <w:tr w:rsidR="00AC46A6" w:rsidRPr="00AC46A6" w14:paraId="03B98573" w14:textId="77777777" w:rsidTr="006C4438">
        <w:trPr>
          <w:jc w:val="center"/>
        </w:trPr>
        <w:tc>
          <w:tcPr>
            <w:tcW w:w="4763" w:type="dxa"/>
            <w:shd w:val="clear" w:color="auto" w:fill="FFFFFF"/>
            <w:vAlign w:val="bottom"/>
          </w:tcPr>
          <w:p w14:paraId="03B9856E"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vi-VN" w:bidi="vi-VN"/>
              </w:rPr>
              <w:t>Texas Health Fort Worth</w:t>
            </w:r>
          </w:p>
        </w:tc>
        <w:tc>
          <w:tcPr>
            <w:tcW w:w="1814" w:type="dxa"/>
            <w:shd w:val="clear" w:color="auto" w:fill="FFFFFF"/>
            <w:vAlign w:val="bottom"/>
          </w:tcPr>
          <w:p w14:paraId="03B9856F"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1.996.251.867 USD</w:t>
            </w:r>
          </w:p>
        </w:tc>
        <w:tc>
          <w:tcPr>
            <w:tcW w:w="1936" w:type="dxa"/>
            <w:shd w:val="clear" w:color="auto" w:fill="FFFFFF"/>
            <w:vAlign w:val="bottom"/>
          </w:tcPr>
          <w:p w14:paraId="03B98570" w14:textId="77777777" w:rsidR="00AC46A6" w:rsidRPr="00AC46A6" w:rsidRDefault="00AC46A6" w:rsidP="006C4438">
            <w:pPr>
              <w:pStyle w:val="NoSpacing"/>
              <w:jc w:val="right"/>
              <w:rPr>
                <w:rFonts w:eastAsia="Courier New"/>
                <w:sz w:val="18"/>
                <w:szCs w:val="18"/>
                <w:lang w:bidi="ar-SA"/>
              </w:rPr>
            </w:pPr>
            <w:r>
              <w:rPr>
                <w:rFonts w:eastAsia="Courier New"/>
                <w:sz w:val="18"/>
                <w:szCs w:val="18"/>
                <w:lang w:val="vi-VN" w:bidi="vi-VN"/>
              </w:rPr>
              <w:t>–1.333.149.193 USD</w:t>
            </w:r>
          </w:p>
        </w:tc>
        <w:tc>
          <w:tcPr>
            <w:tcW w:w="1223" w:type="dxa"/>
            <w:shd w:val="clear" w:color="auto" w:fill="FFFFFF"/>
            <w:vAlign w:val="bottom"/>
          </w:tcPr>
          <w:p w14:paraId="03B98571"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66,78%</w:t>
            </w:r>
          </w:p>
        </w:tc>
        <w:tc>
          <w:tcPr>
            <w:tcW w:w="1349" w:type="dxa"/>
            <w:shd w:val="clear" w:color="auto" w:fill="FFFFFF"/>
            <w:vAlign w:val="bottom"/>
          </w:tcPr>
          <w:p w14:paraId="03B98572"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33,22%</w:t>
            </w:r>
          </w:p>
        </w:tc>
      </w:tr>
      <w:tr w:rsidR="00AC46A6" w:rsidRPr="00AC46A6" w14:paraId="03B98579" w14:textId="77777777" w:rsidTr="006C4438">
        <w:trPr>
          <w:jc w:val="center"/>
        </w:trPr>
        <w:tc>
          <w:tcPr>
            <w:tcW w:w="4763" w:type="dxa"/>
            <w:shd w:val="clear" w:color="auto" w:fill="FFFFFF"/>
            <w:vAlign w:val="bottom"/>
          </w:tcPr>
          <w:p w14:paraId="03B98574"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vi-VN" w:bidi="vi-VN"/>
              </w:rPr>
              <w:t>Texas Health HEB</w:t>
            </w:r>
          </w:p>
        </w:tc>
        <w:tc>
          <w:tcPr>
            <w:tcW w:w="1814" w:type="dxa"/>
            <w:shd w:val="clear" w:color="auto" w:fill="FFFFFF"/>
            <w:vAlign w:val="bottom"/>
          </w:tcPr>
          <w:p w14:paraId="03B98575"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713.877.885 USD</w:t>
            </w:r>
          </w:p>
        </w:tc>
        <w:tc>
          <w:tcPr>
            <w:tcW w:w="1936" w:type="dxa"/>
            <w:shd w:val="clear" w:color="auto" w:fill="FFFFFF"/>
            <w:vAlign w:val="bottom"/>
          </w:tcPr>
          <w:p w14:paraId="03B98576"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vi-VN" w:bidi="vi-VN"/>
              </w:rPr>
              <w:t>–474.684.930 USD</w:t>
            </w:r>
          </w:p>
        </w:tc>
        <w:tc>
          <w:tcPr>
            <w:tcW w:w="1223" w:type="dxa"/>
            <w:shd w:val="clear" w:color="auto" w:fill="FFFFFF"/>
            <w:vAlign w:val="bottom"/>
          </w:tcPr>
          <w:p w14:paraId="03B98577"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66,49%</w:t>
            </w:r>
          </w:p>
        </w:tc>
        <w:tc>
          <w:tcPr>
            <w:tcW w:w="1349" w:type="dxa"/>
            <w:shd w:val="clear" w:color="auto" w:fill="FFFFFF"/>
            <w:vAlign w:val="bottom"/>
          </w:tcPr>
          <w:p w14:paraId="03B98578"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33,51%</w:t>
            </w:r>
          </w:p>
        </w:tc>
      </w:tr>
      <w:tr w:rsidR="00AC46A6" w:rsidRPr="00AC46A6" w14:paraId="03B9857F" w14:textId="77777777" w:rsidTr="006C4438">
        <w:trPr>
          <w:jc w:val="center"/>
        </w:trPr>
        <w:tc>
          <w:tcPr>
            <w:tcW w:w="4763" w:type="dxa"/>
            <w:shd w:val="clear" w:color="auto" w:fill="FFFFFF"/>
            <w:vAlign w:val="bottom"/>
          </w:tcPr>
          <w:p w14:paraId="03B9857A"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vi-VN" w:bidi="vi-VN"/>
              </w:rPr>
              <w:t>Texas Health Heart and Vascular Hospital</w:t>
            </w:r>
          </w:p>
        </w:tc>
        <w:tc>
          <w:tcPr>
            <w:tcW w:w="1814" w:type="dxa"/>
            <w:shd w:val="clear" w:color="auto" w:fill="FFFFFF"/>
            <w:vAlign w:val="bottom"/>
          </w:tcPr>
          <w:p w14:paraId="03B9857B"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145.125.910 USD</w:t>
            </w:r>
          </w:p>
        </w:tc>
        <w:tc>
          <w:tcPr>
            <w:tcW w:w="1936" w:type="dxa"/>
            <w:shd w:val="clear" w:color="auto" w:fill="FFFFFF"/>
            <w:vAlign w:val="bottom"/>
          </w:tcPr>
          <w:p w14:paraId="03B9857C"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vi-VN" w:bidi="vi-VN"/>
              </w:rPr>
              <w:t>–102.933.398 USD</w:t>
            </w:r>
          </w:p>
        </w:tc>
        <w:tc>
          <w:tcPr>
            <w:tcW w:w="1223" w:type="dxa"/>
            <w:shd w:val="clear" w:color="auto" w:fill="FFFFFF"/>
            <w:vAlign w:val="bottom"/>
          </w:tcPr>
          <w:p w14:paraId="03B9857D"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70,93%</w:t>
            </w:r>
          </w:p>
        </w:tc>
        <w:tc>
          <w:tcPr>
            <w:tcW w:w="1349" w:type="dxa"/>
            <w:shd w:val="clear" w:color="auto" w:fill="FFFFFF"/>
            <w:vAlign w:val="bottom"/>
          </w:tcPr>
          <w:p w14:paraId="03B9857E"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29,07%</w:t>
            </w:r>
          </w:p>
        </w:tc>
      </w:tr>
      <w:tr w:rsidR="00AC46A6" w:rsidRPr="00AC46A6" w14:paraId="03B98585" w14:textId="77777777" w:rsidTr="006C4438">
        <w:trPr>
          <w:jc w:val="center"/>
        </w:trPr>
        <w:tc>
          <w:tcPr>
            <w:tcW w:w="4763" w:type="dxa"/>
            <w:shd w:val="clear" w:color="auto" w:fill="FFFFFF"/>
            <w:vAlign w:val="bottom"/>
          </w:tcPr>
          <w:p w14:paraId="03B98580"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vi-VN" w:bidi="vi-VN"/>
              </w:rPr>
              <w:t>Texas Health Kaufman</w:t>
            </w:r>
          </w:p>
        </w:tc>
        <w:tc>
          <w:tcPr>
            <w:tcW w:w="1814" w:type="dxa"/>
            <w:shd w:val="clear" w:color="auto" w:fill="FFFFFF"/>
            <w:vAlign w:val="bottom"/>
          </w:tcPr>
          <w:p w14:paraId="03B98581"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98.562.318 USD</w:t>
            </w:r>
          </w:p>
        </w:tc>
        <w:tc>
          <w:tcPr>
            <w:tcW w:w="1936" w:type="dxa"/>
            <w:shd w:val="clear" w:color="auto" w:fill="FFFFFF"/>
            <w:vAlign w:val="bottom"/>
          </w:tcPr>
          <w:p w14:paraId="03B98582"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vi-VN" w:bidi="vi-VN"/>
              </w:rPr>
              <w:t>–66.462.941 USD</w:t>
            </w:r>
          </w:p>
        </w:tc>
        <w:tc>
          <w:tcPr>
            <w:tcW w:w="1223" w:type="dxa"/>
            <w:shd w:val="clear" w:color="auto" w:fill="FFFFFF"/>
            <w:vAlign w:val="bottom"/>
          </w:tcPr>
          <w:p w14:paraId="03B98583"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67,43%</w:t>
            </w:r>
          </w:p>
        </w:tc>
        <w:tc>
          <w:tcPr>
            <w:tcW w:w="1349" w:type="dxa"/>
            <w:shd w:val="clear" w:color="auto" w:fill="FFFFFF"/>
            <w:vAlign w:val="bottom"/>
          </w:tcPr>
          <w:p w14:paraId="03B98584"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32,57%</w:t>
            </w:r>
          </w:p>
        </w:tc>
      </w:tr>
      <w:tr w:rsidR="00AC46A6" w:rsidRPr="00AC46A6" w14:paraId="03B9858B" w14:textId="77777777" w:rsidTr="006C4438">
        <w:trPr>
          <w:jc w:val="center"/>
        </w:trPr>
        <w:tc>
          <w:tcPr>
            <w:tcW w:w="4763" w:type="dxa"/>
            <w:shd w:val="clear" w:color="auto" w:fill="FFFFFF"/>
            <w:vAlign w:val="bottom"/>
          </w:tcPr>
          <w:p w14:paraId="03B98586"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vi-VN" w:bidi="vi-VN"/>
              </w:rPr>
              <w:t>Texas Health Plano</w:t>
            </w:r>
          </w:p>
        </w:tc>
        <w:tc>
          <w:tcPr>
            <w:tcW w:w="1814" w:type="dxa"/>
            <w:shd w:val="clear" w:color="auto" w:fill="FFFFFF"/>
            <w:vAlign w:val="bottom"/>
          </w:tcPr>
          <w:p w14:paraId="03B98587"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850.296.381 USD</w:t>
            </w:r>
          </w:p>
        </w:tc>
        <w:tc>
          <w:tcPr>
            <w:tcW w:w="1936" w:type="dxa"/>
            <w:shd w:val="clear" w:color="auto" w:fill="FFFFFF"/>
            <w:vAlign w:val="bottom"/>
          </w:tcPr>
          <w:p w14:paraId="03B98588"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vi-VN" w:bidi="vi-VN"/>
              </w:rPr>
              <w:t>–491.101.985 USD</w:t>
            </w:r>
          </w:p>
        </w:tc>
        <w:tc>
          <w:tcPr>
            <w:tcW w:w="1223" w:type="dxa"/>
            <w:shd w:val="clear" w:color="auto" w:fill="FFFFFF"/>
            <w:vAlign w:val="bottom"/>
          </w:tcPr>
          <w:p w14:paraId="03B98589"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57,76%</w:t>
            </w:r>
          </w:p>
        </w:tc>
        <w:tc>
          <w:tcPr>
            <w:tcW w:w="1349" w:type="dxa"/>
            <w:shd w:val="clear" w:color="auto" w:fill="FFFFFF"/>
            <w:vAlign w:val="bottom"/>
          </w:tcPr>
          <w:p w14:paraId="03B9858A"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42,24%</w:t>
            </w:r>
          </w:p>
        </w:tc>
      </w:tr>
      <w:tr w:rsidR="00AC46A6" w:rsidRPr="00AC46A6" w14:paraId="03B98591" w14:textId="77777777" w:rsidTr="006C4438">
        <w:trPr>
          <w:jc w:val="center"/>
        </w:trPr>
        <w:tc>
          <w:tcPr>
            <w:tcW w:w="4763" w:type="dxa"/>
            <w:shd w:val="clear" w:color="auto" w:fill="FFFFFF"/>
            <w:vAlign w:val="bottom"/>
          </w:tcPr>
          <w:p w14:paraId="03B9858C"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vi-VN" w:bidi="vi-VN"/>
              </w:rPr>
              <w:t>Texas Health Stevenville</w:t>
            </w:r>
          </w:p>
        </w:tc>
        <w:tc>
          <w:tcPr>
            <w:tcW w:w="1814" w:type="dxa"/>
            <w:shd w:val="clear" w:color="auto" w:fill="FFFFFF"/>
            <w:vAlign w:val="bottom"/>
          </w:tcPr>
          <w:p w14:paraId="03B9858D"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110.161.724 USD</w:t>
            </w:r>
          </w:p>
        </w:tc>
        <w:tc>
          <w:tcPr>
            <w:tcW w:w="1936" w:type="dxa"/>
            <w:shd w:val="clear" w:color="auto" w:fill="FFFFFF"/>
            <w:vAlign w:val="bottom"/>
          </w:tcPr>
          <w:p w14:paraId="03B9858E"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vi-VN" w:bidi="vi-VN"/>
              </w:rPr>
              <w:t>–66.746.844 USD</w:t>
            </w:r>
          </w:p>
        </w:tc>
        <w:tc>
          <w:tcPr>
            <w:tcW w:w="1223" w:type="dxa"/>
            <w:shd w:val="clear" w:color="auto" w:fill="FFFFFF"/>
            <w:vAlign w:val="bottom"/>
          </w:tcPr>
          <w:p w14:paraId="03B9858F"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60,59%</w:t>
            </w:r>
          </w:p>
        </w:tc>
        <w:tc>
          <w:tcPr>
            <w:tcW w:w="1349" w:type="dxa"/>
            <w:shd w:val="clear" w:color="auto" w:fill="FFFFFF"/>
            <w:vAlign w:val="bottom"/>
          </w:tcPr>
          <w:p w14:paraId="03B98590"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39,41%</w:t>
            </w:r>
          </w:p>
        </w:tc>
      </w:tr>
      <w:tr w:rsidR="00AC46A6" w:rsidRPr="00AC46A6" w14:paraId="03B98597" w14:textId="77777777" w:rsidTr="006C4438">
        <w:trPr>
          <w:jc w:val="center"/>
        </w:trPr>
        <w:tc>
          <w:tcPr>
            <w:tcW w:w="4763" w:type="dxa"/>
            <w:shd w:val="clear" w:color="auto" w:fill="FFFFFF"/>
            <w:vAlign w:val="bottom"/>
          </w:tcPr>
          <w:p w14:paraId="03B98592"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vi-VN" w:bidi="vi-VN"/>
              </w:rPr>
              <w:t>Texas Health Speciality Hospital</w:t>
            </w:r>
          </w:p>
        </w:tc>
        <w:tc>
          <w:tcPr>
            <w:tcW w:w="1814" w:type="dxa"/>
            <w:shd w:val="clear" w:color="auto" w:fill="FFFFFF"/>
            <w:vAlign w:val="bottom"/>
          </w:tcPr>
          <w:p w14:paraId="03B98593"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18.810.968 USD</w:t>
            </w:r>
          </w:p>
        </w:tc>
        <w:tc>
          <w:tcPr>
            <w:tcW w:w="1936" w:type="dxa"/>
            <w:shd w:val="clear" w:color="auto" w:fill="FFFFFF"/>
            <w:vAlign w:val="bottom"/>
          </w:tcPr>
          <w:p w14:paraId="03B98594"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vi-VN" w:bidi="vi-VN"/>
              </w:rPr>
              <w:t>–9.914.873 USD</w:t>
            </w:r>
          </w:p>
        </w:tc>
        <w:tc>
          <w:tcPr>
            <w:tcW w:w="1223" w:type="dxa"/>
            <w:shd w:val="clear" w:color="auto" w:fill="FFFFFF"/>
            <w:vAlign w:val="bottom"/>
          </w:tcPr>
          <w:p w14:paraId="03B98595"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52,71%</w:t>
            </w:r>
          </w:p>
        </w:tc>
        <w:tc>
          <w:tcPr>
            <w:tcW w:w="1349" w:type="dxa"/>
            <w:shd w:val="clear" w:color="auto" w:fill="FFFFFF"/>
            <w:vAlign w:val="bottom"/>
          </w:tcPr>
          <w:p w14:paraId="03B98596"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47,29%</w:t>
            </w:r>
          </w:p>
        </w:tc>
      </w:tr>
      <w:tr w:rsidR="00AC46A6" w:rsidRPr="00AC46A6" w14:paraId="03B9859D" w14:textId="77777777" w:rsidTr="006C4438">
        <w:trPr>
          <w:jc w:val="center"/>
        </w:trPr>
        <w:tc>
          <w:tcPr>
            <w:tcW w:w="4763" w:type="dxa"/>
            <w:shd w:val="clear" w:color="auto" w:fill="FFFFFF"/>
            <w:vAlign w:val="bottom"/>
          </w:tcPr>
          <w:p w14:paraId="03B98598"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vi-VN" w:bidi="vi-VN"/>
              </w:rPr>
              <w:t>Texas Health Southwest Ft. Worth</w:t>
            </w:r>
          </w:p>
        </w:tc>
        <w:tc>
          <w:tcPr>
            <w:tcW w:w="1814" w:type="dxa"/>
            <w:shd w:val="clear" w:color="auto" w:fill="FFFFFF"/>
            <w:vAlign w:val="bottom"/>
          </w:tcPr>
          <w:p w14:paraId="03B98599"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611.686.328 USD</w:t>
            </w:r>
          </w:p>
        </w:tc>
        <w:tc>
          <w:tcPr>
            <w:tcW w:w="1936" w:type="dxa"/>
            <w:shd w:val="clear" w:color="auto" w:fill="FFFFFF"/>
            <w:vAlign w:val="bottom"/>
          </w:tcPr>
          <w:p w14:paraId="03B9859A"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vi-VN" w:bidi="vi-VN"/>
              </w:rPr>
              <w:t>–379.904.501 USD</w:t>
            </w:r>
          </w:p>
        </w:tc>
        <w:tc>
          <w:tcPr>
            <w:tcW w:w="1223" w:type="dxa"/>
            <w:shd w:val="clear" w:color="auto" w:fill="FFFFFF"/>
            <w:vAlign w:val="bottom"/>
          </w:tcPr>
          <w:p w14:paraId="03B9859B"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62,11%</w:t>
            </w:r>
          </w:p>
        </w:tc>
        <w:tc>
          <w:tcPr>
            <w:tcW w:w="1349" w:type="dxa"/>
            <w:shd w:val="clear" w:color="auto" w:fill="FFFFFF"/>
            <w:vAlign w:val="bottom"/>
          </w:tcPr>
          <w:p w14:paraId="03B9859C"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37,89%</w:t>
            </w:r>
          </w:p>
        </w:tc>
      </w:tr>
      <w:tr w:rsidR="00AC46A6" w:rsidRPr="00AC46A6" w14:paraId="03B985A3" w14:textId="77777777" w:rsidTr="006C4438">
        <w:trPr>
          <w:jc w:val="center"/>
        </w:trPr>
        <w:tc>
          <w:tcPr>
            <w:tcW w:w="4763" w:type="dxa"/>
            <w:shd w:val="clear" w:color="auto" w:fill="FFFFFF"/>
            <w:vAlign w:val="bottom"/>
          </w:tcPr>
          <w:p w14:paraId="03B9859E"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vi-VN" w:bidi="vi-VN"/>
              </w:rPr>
              <w:t>Texas Health Rockwall</w:t>
            </w:r>
          </w:p>
        </w:tc>
        <w:tc>
          <w:tcPr>
            <w:tcW w:w="1814" w:type="dxa"/>
            <w:shd w:val="clear" w:color="auto" w:fill="FFFFFF"/>
            <w:vAlign w:val="bottom"/>
          </w:tcPr>
          <w:p w14:paraId="03B9859F"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235.517.306 USD</w:t>
            </w:r>
          </w:p>
        </w:tc>
        <w:tc>
          <w:tcPr>
            <w:tcW w:w="1936" w:type="dxa"/>
            <w:shd w:val="clear" w:color="auto" w:fill="FFFFFF"/>
            <w:vAlign w:val="bottom"/>
          </w:tcPr>
          <w:p w14:paraId="03B985A0"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vi-VN" w:bidi="vi-VN"/>
              </w:rPr>
              <w:t>–132.880.501 USD</w:t>
            </w:r>
          </w:p>
        </w:tc>
        <w:tc>
          <w:tcPr>
            <w:tcW w:w="1223" w:type="dxa"/>
            <w:shd w:val="clear" w:color="auto" w:fill="FFFFFF"/>
            <w:vAlign w:val="bottom"/>
          </w:tcPr>
          <w:p w14:paraId="03B985A1"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56,42%</w:t>
            </w:r>
          </w:p>
        </w:tc>
        <w:tc>
          <w:tcPr>
            <w:tcW w:w="1349" w:type="dxa"/>
            <w:shd w:val="clear" w:color="auto" w:fill="FFFFFF"/>
            <w:vAlign w:val="bottom"/>
          </w:tcPr>
          <w:p w14:paraId="03B985A2"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43,58%</w:t>
            </w:r>
          </w:p>
        </w:tc>
      </w:tr>
      <w:tr w:rsidR="00AC46A6" w:rsidRPr="00AC46A6" w14:paraId="03B985A9" w14:textId="77777777" w:rsidTr="006C4438">
        <w:trPr>
          <w:jc w:val="center"/>
        </w:trPr>
        <w:tc>
          <w:tcPr>
            <w:tcW w:w="4763" w:type="dxa"/>
            <w:shd w:val="clear" w:color="auto" w:fill="FFFFFF"/>
            <w:vAlign w:val="bottom"/>
          </w:tcPr>
          <w:p w14:paraId="03B985A4"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vi-VN" w:bidi="vi-VN"/>
              </w:rPr>
              <w:t>Texas Health Flower Mound</w:t>
            </w:r>
          </w:p>
        </w:tc>
        <w:tc>
          <w:tcPr>
            <w:tcW w:w="1814" w:type="dxa"/>
            <w:shd w:val="clear" w:color="auto" w:fill="FFFFFF"/>
            <w:vAlign w:val="bottom"/>
          </w:tcPr>
          <w:p w14:paraId="03B985A5"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244.077.590 USD</w:t>
            </w:r>
          </w:p>
        </w:tc>
        <w:tc>
          <w:tcPr>
            <w:tcW w:w="1936" w:type="dxa"/>
            <w:shd w:val="clear" w:color="auto" w:fill="FFFFFF"/>
            <w:vAlign w:val="bottom"/>
          </w:tcPr>
          <w:p w14:paraId="03B985A6"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vi-VN" w:bidi="vi-VN"/>
              </w:rPr>
              <w:t>–132.938.148 USD</w:t>
            </w:r>
          </w:p>
        </w:tc>
        <w:tc>
          <w:tcPr>
            <w:tcW w:w="1223" w:type="dxa"/>
            <w:shd w:val="clear" w:color="auto" w:fill="FFFFFF"/>
            <w:vAlign w:val="bottom"/>
          </w:tcPr>
          <w:p w14:paraId="03B985A7"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54,47%</w:t>
            </w:r>
          </w:p>
        </w:tc>
        <w:tc>
          <w:tcPr>
            <w:tcW w:w="1349" w:type="dxa"/>
            <w:shd w:val="clear" w:color="auto" w:fill="FFFFFF"/>
            <w:vAlign w:val="bottom"/>
          </w:tcPr>
          <w:p w14:paraId="03B985A8"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45,53%</w:t>
            </w:r>
          </w:p>
        </w:tc>
      </w:tr>
      <w:tr w:rsidR="00AC46A6" w:rsidRPr="00AC46A6" w14:paraId="03B985AF" w14:textId="77777777" w:rsidTr="006C4438">
        <w:trPr>
          <w:jc w:val="center"/>
        </w:trPr>
        <w:tc>
          <w:tcPr>
            <w:tcW w:w="4763" w:type="dxa"/>
            <w:shd w:val="clear" w:color="auto" w:fill="FFFFFF"/>
            <w:vAlign w:val="bottom"/>
          </w:tcPr>
          <w:p w14:paraId="03B985AA"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vi-VN" w:bidi="vi-VN"/>
              </w:rPr>
              <w:t>Texas Health Southlake</w:t>
            </w:r>
          </w:p>
        </w:tc>
        <w:tc>
          <w:tcPr>
            <w:tcW w:w="1814" w:type="dxa"/>
            <w:shd w:val="clear" w:color="auto" w:fill="FFFFFF"/>
            <w:vAlign w:val="bottom"/>
          </w:tcPr>
          <w:p w14:paraId="03B985AB"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126.928.786 USD</w:t>
            </w:r>
          </w:p>
        </w:tc>
        <w:tc>
          <w:tcPr>
            <w:tcW w:w="1936" w:type="dxa"/>
            <w:shd w:val="clear" w:color="auto" w:fill="FFFFFF"/>
            <w:vAlign w:val="bottom"/>
          </w:tcPr>
          <w:p w14:paraId="03B985AC"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vi-VN" w:bidi="vi-VN"/>
              </w:rPr>
              <w:t>–66.640.275 USD</w:t>
            </w:r>
          </w:p>
        </w:tc>
        <w:tc>
          <w:tcPr>
            <w:tcW w:w="1223" w:type="dxa"/>
            <w:shd w:val="clear" w:color="auto" w:fill="FFFFFF"/>
            <w:vAlign w:val="bottom"/>
          </w:tcPr>
          <w:p w14:paraId="03B985AD"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52,50%</w:t>
            </w:r>
          </w:p>
        </w:tc>
        <w:tc>
          <w:tcPr>
            <w:tcW w:w="1349" w:type="dxa"/>
            <w:shd w:val="clear" w:color="auto" w:fill="FFFFFF"/>
            <w:vAlign w:val="bottom"/>
          </w:tcPr>
          <w:p w14:paraId="03B985AE"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47,50%</w:t>
            </w:r>
          </w:p>
        </w:tc>
      </w:tr>
      <w:tr w:rsidR="00AC46A6" w:rsidRPr="00AC46A6" w14:paraId="03B985B5" w14:textId="77777777" w:rsidTr="006C4438">
        <w:trPr>
          <w:jc w:val="center"/>
        </w:trPr>
        <w:tc>
          <w:tcPr>
            <w:tcW w:w="4763" w:type="dxa"/>
            <w:shd w:val="clear" w:color="auto" w:fill="FFFFFF"/>
            <w:vAlign w:val="bottom"/>
          </w:tcPr>
          <w:p w14:paraId="03B985B0"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vi-VN" w:bidi="vi-VN"/>
              </w:rPr>
              <w:t>Texas Health Center for Diagnostics and Surgery Plano</w:t>
            </w:r>
          </w:p>
        </w:tc>
        <w:tc>
          <w:tcPr>
            <w:tcW w:w="1814" w:type="dxa"/>
            <w:shd w:val="clear" w:color="auto" w:fill="FFFFFF"/>
            <w:vAlign w:val="bottom"/>
          </w:tcPr>
          <w:p w14:paraId="03B985B1"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142.895.136 USD</w:t>
            </w:r>
          </w:p>
        </w:tc>
        <w:tc>
          <w:tcPr>
            <w:tcW w:w="1936" w:type="dxa"/>
            <w:shd w:val="clear" w:color="auto" w:fill="FFFFFF"/>
            <w:vAlign w:val="bottom"/>
          </w:tcPr>
          <w:p w14:paraId="03B985B2"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vi-VN" w:bidi="vi-VN"/>
              </w:rPr>
              <w:t>–72.957.419 USD</w:t>
            </w:r>
          </w:p>
        </w:tc>
        <w:tc>
          <w:tcPr>
            <w:tcW w:w="1223" w:type="dxa"/>
            <w:shd w:val="clear" w:color="auto" w:fill="FFFFFF"/>
            <w:vAlign w:val="bottom"/>
          </w:tcPr>
          <w:p w14:paraId="03B985B3"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51,06%</w:t>
            </w:r>
          </w:p>
        </w:tc>
        <w:tc>
          <w:tcPr>
            <w:tcW w:w="1349" w:type="dxa"/>
            <w:shd w:val="clear" w:color="auto" w:fill="FFFFFF"/>
            <w:vAlign w:val="bottom"/>
          </w:tcPr>
          <w:p w14:paraId="03B985B4"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48,94%</w:t>
            </w:r>
          </w:p>
        </w:tc>
      </w:tr>
      <w:tr w:rsidR="00AC46A6" w:rsidRPr="00AC46A6" w14:paraId="03B985BB" w14:textId="77777777" w:rsidTr="006C4438">
        <w:trPr>
          <w:jc w:val="center"/>
        </w:trPr>
        <w:tc>
          <w:tcPr>
            <w:tcW w:w="4763" w:type="dxa"/>
            <w:shd w:val="clear" w:color="auto" w:fill="FFFFFF"/>
            <w:vAlign w:val="bottom"/>
          </w:tcPr>
          <w:p w14:paraId="03B985B6"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vi-VN" w:bidi="vi-VN"/>
              </w:rPr>
              <w:t>Texas Health Institute for Surgery</w:t>
            </w:r>
          </w:p>
        </w:tc>
        <w:tc>
          <w:tcPr>
            <w:tcW w:w="1814" w:type="dxa"/>
            <w:shd w:val="clear" w:color="auto" w:fill="FFFFFF"/>
            <w:vAlign w:val="bottom"/>
          </w:tcPr>
          <w:p w14:paraId="03B985B7"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142.590.116 USD</w:t>
            </w:r>
          </w:p>
        </w:tc>
        <w:tc>
          <w:tcPr>
            <w:tcW w:w="1936" w:type="dxa"/>
            <w:shd w:val="clear" w:color="auto" w:fill="FFFFFF"/>
            <w:vAlign w:val="bottom"/>
          </w:tcPr>
          <w:p w14:paraId="03B985B8"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vi-VN" w:bidi="vi-VN"/>
              </w:rPr>
              <w:t>–75.113.525 USD</w:t>
            </w:r>
          </w:p>
        </w:tc>
        <w:tc>
          <w:tcPr>
            <w:tcW w:w="1223" w:type="dxa"/>
            <w:shd w:val="clear" w:color="auto" w:fill="FFFFFF"/>
            <w:vAlign w:val="bottom"/>
          </w:tcPr>
          <w:p w14:paraId="03B985B9"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52,68%</w:t>
            </w:r>
          </w:p>
        </w:tc>
        <w:tc>
          <w:tcPr>
            <w:tcW w:w="1349" w:type="dxa"/>
            <w:shd w:val="clear" w:color="auto" w:fill="FFFFFF"/>
            <w:vAlign w:val="bottom"/>
          </w:tcPr>
          <w:p w14:paraId="03B985BA"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47,32%</w:t>
            </w:r>
          </w:p>
        </w:tc>
      </w:tr>
      <w:tr w:rsidR="00AC46A6" w:rsidRPr="00AC46A6" w14:paraId="03B985C1" w14:textId="77777777" w:rsidTr="006C4438">
        <w:trPr>
          <w:jc w:val="center"/>
        </w:trPr>
        <w:tc>
          <w:tcPr>
            <w:tcW w:w="4763" w:type="dxa"/>
            <w:shd w:val="clear" w:color="auto" w:fill="FFFFFF"/>
            <w:vAlign w:val="bottom"/>
          </w:tcPr>
          <w:p w14:paraId="03B985BC"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vi-VN" w:bidi="vi-VN"/>
              </w:rPr>
              <w:t>Texas Health USMD – Arlington</w:t>
            </w:r>
          </w:p>
        </w:tc>
        <w:tc>
          <w:tcPr>
            <w:tcW w:w="1814" w:type="dxa"/>
            <w:shd w:val="clear" w:color="auto" w:fill="FFFFFF"/>
            <w:vAlign w:val="bottom"/>
          </w:tcPr>
          <w:p w14:paraId="03B985BD"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264.395.517</w:t>
            </w:r>
          </w:p>
        </w:tc>
        <w:tc>
          <w:tcPr>
            <w:tcW w:w="1936" w:type="dxa"/>
            <w:shd w:val="clear" w:color="auto" w:fill="FFFFFF"/>
            <w:vAlign w:val="bottom"/>
          </w:tcPr>
          <w:p w14:paraId="03B985BE"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vi-VN" w:bidi="vi-VN"/>
              </w:rPr>
              <w:t>–170.957.598 USD</w:t>
            </w:r>
          </w:p>
        </w:tc>
        <w:tc>
          <w:tcPr>
            <w:tcW w:w="1223" w:type="dxa"/>
            <w:shd w:val="clear" w:color="auto" w:fill="FFFFFF"/>
            <w:vAlign w:val="bottom"/>
          </w:tcPr>
          <w:p w14:paraId="03B985BF"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64,66%</w:t>
            </w:r>
          </w:p>
        </w:tc>
        <w:tc>
          <w:tcPr>
            <w:tcW w:w="1349" w:type="dxa"/>
            <w:shd w:val="clear" w:color="auto" w:fill="FFFFFF"/>
            <w:vAlign w:val="bottom"/>
          </w:tcPr>
          <w:p w14:paraId="03B985C0"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35,34%</w:t>
            </w:r>
          </w:p>
        </w:tc>
      </w:tr>
      <w:tr w:rsidR="00AC46A6" w:rsidRPr="00AC46A6" w14:paraId="03B985C7" w14:textId="77777777" w:rsidTr="006C4438">
        <w:trPr>
          <w:jc w:val="center"/>
        </w:trPr>
        <w:tc>
          <w:tcPr>
            <w:tcW w:w="4763" w:type="dxa"/>
            <w:shd w:val="clear" w:color="auto" w:fill="FFFFFF"/>
            <w:vAlign w:val="bottom"/>
          </w:tcPr>
          <w:p w14:paraId="03B985C2" w14:textId="77777777" w:rsidR="00AC46A6" w:rsidRPr="00AC46A6" w:rsidRDefault="00AC46A6" w:rsidP="00AC46A6">
            <w:pPr>
              <w:pStyle w:val="NoSpacing"/>
              <w:rPr>
                <w:rFonts w:eastAsia="Courier New"/>
                <w:sz w:val="18"/>
                <w:szCs w:val="18"/>
                <w:lang w:bidi="ar-SA"/>
              </w:rPr>
            </w:pPr>
            <w:r w:rsidRPr="00AC46A6">
              <w:rPr>
                <w:rFonts w:eastAsia="Courier New"/>
                <w:sz w:val="18"/>
                <w:szCs w:val="18"/>
                <w:lang w:val="vi-VN" w:bidi="vi-VN"/>
              </w:rPr>
              <w:t>Texas Health USMD – Fort Worth</w:t>
            </w:r>
          </w:p>
        </w:tc>
        <w:tc>
          <w:tcPr>
            <w:tcW w:w="1814" w:type="dxa"/>
            <w:shd w:val="clear" w:color="auto" w:fill="FFFFFF"/>
            <w:vAlign w:val="bottom"/>
          </w:tcPr>
          <w:p w14:paraId="03B985C3"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91.783.463 USD</w:t>
            </w:r>
          </w:p>
        </w:tc>
        <w:tc>
          <w:tcPr>
            <w:tcW w:w="1936" w:type="dxa"/>
            <w:shd w:val="clear" w:color="auto" w:fill="FFFFFF"/>
            <w:vAlign w:val="bottom"/>
          </w:tcPr>
          <w:p w14:paraId="03B985C4" w14:textId="77777777" w:rsidR="00AC46A6" w:rsidRPr="00AC46A6" w:rsidRDefault="00AC46A6" w:rsidP="00AC46A6">
            <w:pPr>
              <w:pStyle w:val="NoSpacing"/>
              <w:jc w:val="right"/>
              <w:rPr>
                <w:rFonts w:eastAsia="Courier New"/>
                <w:sz w:val="18"/>
                <w:szCs w:val="18"/>
                <w:lang w:bidi="ar-SA"/>
              </w:rPr>
            </w:pPr>
            <w:r>
              <w:rPr>
                <w:rFonts w:eastAsia="Courier New"/>
                <w:sz w:val="18"/>
                <w:szCs w:val="18"/>
                <w:lang w:val="vi-VN" w:bidi="vi-VN"/>
              </w:rPr>
              <w:t>–54.789.259 USD</w:t>
            </w:r>
          </w:p>
        </w:tc>
        <w:tc>
          <w:tcPr>
            <w:tcW w:w="1223" w:type="dxa"/>
            <w:shd w:val="clear" w:color="auto" w:fill="FFFFFF"/>
            <w:vAlign w:val="bottom"/>
          </w:tcPr>
          <w:p w14:paraId="03B985C5"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59,69%</w:t>
            </w:r>
          </w:p>
        </w:tc>
        <w:tc>
          <w:tcPr>
            <w:tcW w:w="1349" w:type="dxa"/>
            <w:shd w:val="clear" w:color="auto" w:fill="FFFFFF"/>
            <w:vAlign w:val="bottom"/>
          </w:tcPr>
          <w:p w14:paraId="03B985C6" w14:textId="77777777" w:rsidR="00AC46A6" w:rsidRPr="00AC46A6" w:rsidRDefault="00AC46A6" w:rsidP="00AC46A6">
            <w:pPr>
              <w:pStyle w:val="NoSpacing"/>
              <w:jc w:val="right"/>
              <w:rPr>
                <w:rFonts w:eastAsia="Courier New"/>
                <w:sz w:val="18"/>
                <w:szCs w:val="18"/>
                <w:lang w:bidi="ar-SA"/>
              </w:rPr>
            </w:pPr>
            <w:r w:rsidRPr="00AC46A6">
              <w:rPr>
                <w:rFonts w:eastAsia="Courier New"/>
                <w:sz w:val="18"/>
                <w:szCs w:val="18"/>
                <w:lang w:val="vi-VN" w:bidi="vi-VN"/>
              </w:rPr>
              <w:t>40,31%</w:t>
            </w:r>
          </w:p>
        </w:tc>
      </w:tr>
      <w:tr w:rsidR="00AC46A6" w:rsidRPr="00AD537B" w14:paraId="03B985CD" w14:textId="77777777" w:rsidTr="006C4438">
        <w:trPr>
          <w:jc w:val="center"/>
        </w:trPr>
        <w:tc>
          <w:tcPr>
            <w:tcW w:w="4763" w:type="dxa"/>
            <w:shd w:val="clear" w:color="auto" w:fill="FFFFFF"/>
            <w:vAlign w:val="bottom"/>
          </w:tcPr>
          <w:p w14:paraId="03B985C8" w14:textId="77777777" w:rsidR="00AC46A6" w:rsidRPr="00AD537B" w:rsidRDefault="00AC46A6" w:rsidP="00AC46A6">
            <w:pPr>
              <w:pStyle w:val="NoSpacing"/>
              <w:rPr>
                <w:rFonts w:eastAsia="Courier New"/>
                <w:b/>
                <w:sz w:val="18"/>
                <w:szCs w:val="18"/>
                <w:lang w:bidi="ar-SA"/>
              </w:rPr>
            </w:pPr>
            <w:r w:rsidRPr="00AD537B">
              <w:rPr>
                <w:rFonts w:eastAsia="Courier New"/>
                <w:b/>
                <w:sz w:val="18"/>
                <w:szCs w:val="18"/>
                <w:lang w:val="vi-VN" w:bidi="vi-VN"/>
              </w:rPr>
              <w:t>Tổng cộng</w:t>
            </w:r>
          </w:p>
        </w:tc>
        <w:tc>
          <w:tcPr>
            <w:tcW w:w="1814" w:type="dxa"/>
            <w:shd w:val="clear" w:color="auto" w:fill="FFFFFF"/>
            <w:vAlign w:val="bottom"/>
          </w:tcPr>
          <w:p w14:paraId="03B985C9" w14:textId="77777777" w:rsidR="00AC46A6" w:rsidRPr="00AD537B" w:rsidRDefault="00AC46A6" w:rsidP="00AC46A6">
            <w:pPr>
              <w:pStyle w:val="NoSpacing"/>
              <w:jc w:val="right"/>
              <w:rPr>
                <w:rFonts w:eastAsia="Courier New"/>
                <w:b/>
                <w:sz w:val="18"/>
                <w:szCs w:val="18"/>
                <w:lang w:bidi="ar-SA"/>
              </w:rPr>
            </w:pPr>
            <w:r w:rsidRPr="00AD537B">
              <w:rPr>
                <w:rFonts w:eastAsia="Courier New"/>
                <w:b/>
                <w:sz w:val="18"/>
                <w:szCs w:val="18"/>
                <w:lang w:val="vi-VN" w:bidi="vi-VN"/>
              </w:rPr>
              <w:t>9.076.785.007 USD</w:t>
            </w:r>
          </w:p>
        </w:tc>
        <w:tc>
          <w:tcPr>
            <w:tcW w:w="1936" w:type="dxa"/>
            <w:shd w:val="clear" w:color="auto" w:fill="FFFFFF"/>
            <w:vAlign w:val="bottom"/>
          </w:tcPr>
          <w:p w14:paraId="03B985CA" w14:textId="77777777" w:rsidR="00AC46A6" w:rsidRPr="00AD537B" w:rsidRDefault="00AC46A6" w:rsidP="00AC46A6">
            <w:pPr>
              <w:pStyle w:val="NoSpacing"/>
              <w:jc w:val="right"/>
              <w:rPr>
                <w:rFonts w:eastAsia="Courier New"/>
                <w:b/>
                <w:sz w:val="18"/>
                <w:szCs w:val="18"/>
                <w:lang w:bidi="ar-SA"/>
              </w:rPr>
            </w:pPr>
            <w:r w:rsidRPr="00AD537B">
              <w:rPr>
                <w:rFonts w:eastAsia="Courier New"/>
                <w:b/>
                <w:sz w:val="18"/>
                <w:szCs w:val="18"/>
                <w:lang w:val="vi-VN" w:bidi="vi-VN"/>
              </w:rPr>
              <w:t>–5.752.806.400 USD</w:t>
            </w:r>
          </w:p>
        </w:tc>
        <w:tc>
          <w:tcPr>
            <w:tcW w:w="1223" w:type="dxa"/>
            <w:shd w:val="clear" w:color="auto" w:fill="FFFFFF"/>
            <w:vAlign w:val="bottom"/>
          </w:tcPr>
          <w:p w14:paraId="03B985CB" w14:textId="77777777" w:rsidR="00AC46A6" w:rsidRPr="00AD537B" w:rsidRDefault="00AC46A6" w:rsidP="00AC46A6">
            <w:pPr>
              <w:pStyle w:val="NoSpacing"/>
              <w:jc w:val="right"/>
              <w:rPr>
                <w:rFonts w:eastAsia="Courier New"/>
                <w:b/>
                <w:sz w:val="18"/>
                <w:szCs w:val="18"/>
                <w:lang w:bidi="ar-SA"/>
              </w:rPr>
            </w:pPr>
            <w:r w:rsidRPr="00AD537B">
              <w:rPr>
                <w:rFonts w:eastAsia="Courier New"/>
                <w:b/>
                <w:sz w:val="18"/>
                <w:szCs w:val="18"/>
                <w:lang w:val="vi-VN" w:bidi="vi-VN"/>
              </w:rPr>
              <w:t>63,38%</w:t>
            </w:r>
          </w:p>
        </w:tc>
        <w:tc>
          <w:tcPr>
            <w:tcW w:w="1349" w:type="dxa"/>
            <w:shd w:val="clear" w:color="auto" w:fill="FFFFFF"/>
            <w:vAlign w:val="bottom"/>
          </w:tcPr>
          <w:p w14:paraId="03B985CC" w14:textId="77777777" w:rsidR="00AC46A6" w:rsidRPr="00AD537B" w:rsidRDefault="00AC46A6" w:rsidP="00AC46A6">
            <w:pPr>
              <w:pStyle w:val="NoSpacing"/>
              <w:jc w:val="right"/>
              <w:rPr>
                <w:rFonts w:eastAsia="Courier New"/>
                <w:b/>
                <w:sz w:val="18"/>
                <w:szCs w:val="18"/>
                <w:lang w:bidi="ar-SA"/>
              </w:rPr>
            </w:pPr>
            <w:r w:rsidRPr="00AD537B">
              <w:rPr>
                <w:rFonts w:eastAsia="Courier New"/>
                <w:b/>
                <w:sz w:val="18"/>
                <w:szCs w:val="18"/>
                <w:lang w:val="vi-VN" w:bidi="vi-VN"/>
              </w:rPr>
              <w:t>36,62%</w:t>
            </w:r>
          </w:p>
        </w:tc>
      </w:tr>
      <w:tr w:rsidR="00AC46A6" w:rsidRPr="00AD537B" w14:paraId="03B985D3" w14:textId="77777777" w:rsidTr="006C4438">
        <w:trPr>
          <w:jc w:val="center"/>
        </w:trPr>
        <w:tc>
          <w:tcPr>
            <w:tcW w:w="4763" w:type="dxa"/>
            <w:shd w:val="clear" w:color="auto" w:fill="FFFFFF"/>
            <w:vAlign w:val="bottom"/>
          </w:tcPr>
          <w:p w14:paraId="03B985CE" w14:textId="77777777" w:rsidR="00AC46A6" w:rsidRPr="00AD537B" w:rsidRDefault="00AC46A6" w:rsidP="00AD537B">
            <w:pPr>
              <w:pStyle w:val="NoSpacing"/>
              <w:spacing w:before="240" w:after="240"/>
              <w:rPr>
                <w:rFonts w:eastAsia="Courier New"/>
                <w:b/>
                <w:sz w:val="18"/>
                <w:szCs w:val="18"/>
                <w:lang w:bidi="ar-SA"/>
              </w:rPr>
            </w:pPr>
            <w:r w:rsidRPr="00AD537B">
              <w:rPr>
                <w:rFonts w:eastAsia="Courier New"/>
                <w:b/>
                <w:color w:val="0070C0"/>
                <w:sz w:val="18"/>
                <w:lang w:val="vi-VN" w:bidi="vi-VN"/>
              </w:rPr>
              <w:t>Các Nguồn lực của Texas Health – AGB Được chọn</w:t>
            </w:r>
          </w:p>
        </w:tc>
        <w:tc>
          <w:tcPr>
            <w:tcW w:w="1814" w:type="dxa"/>
            <w:shd w:val="clear" w:color="auto" w:fill="FFFFFF"/>
            <w:vAlign w:val="bottom"/>
          </w:tcPr>
          <w:p w14:paraId="03B985CF" w14:textId="77777777" w:rsidR="00AC46A6" w:rsidRPr="00AD537B" w:rsidRDefault="00AC46A6" w:rsidP="00AD537B">
            <w:pPr>
              <w:pStyle w:val="NoSpacing"/>
              <w:spacing w:before="240" w:after="240"/>
              <w:rPr>
                <w:rFonts w:eastAsia="Courier New"/>
                <w:b/>
                <w:sz w:val="18"/>
                <w:szCs w:val="18"/>
                <w:lang w:bidi="ar-SA"/>
              </w:rPr>
            </w:pPr>
          </w:p>
        </w:tc>
        <w:tc>
          <w:tcPr>
            <w:tcW w:w="1936" w:type="dxa"/>
            <w:shd w:val="clear" w:color="auto" w:fill="FFFFFF"/>
            <w:vAlign w:val="bottom"/>
          </w:tcPr>
          <w:p w14:paraId="03B985D0" w14:textId="77777777" w:rsidR="00AC46A6" w:rsidRPr="00AD537B" w:rsidRDefault="00AC46A6" w:rsidP="00AD537B">
            <w:pPr>
              <w:pStyle w:val="NoSpacing"/>
              <w:spacing w:before="240" w:after="240"/>
              <w:rPr>
                <w:rFonts w:eastAsia="Courier New"/>
                <w:b/>
                <w:sz w:val="18"/>
                <w:szCs w:val="18"/>
                <w:lang w:bidi="ar-SA"/>
              </w:rPr>
            </w:pPr>
          </w:p>
        </w:tc>
        <w:tc>
          <w:tcPr>
            <w:tcW w:w="1223" w:type="dxa"/>
            <w:shd w:val="clear" w:color="auto" w:fill="FFFFFF"/>
            <w:vAlign w:val="bottom"/>
          </w:tcPr>
          <w:p w14:paraId="03B985D1" w14:textId="77777777" w:rsidR="00AC46A6" w:rsidRPr="00AD537B" w:rsidRDefault="00AC46A6" w:rsidP="00AD537B">
            <w:pPr>
              <w:pStyle w:val="NoSpacing"/>
              <w:spacing w:before="240" w:after="240"/>
              <w:rPr>
                <w:rFonts w:eastAsia="Courier New"/>
                <w:b/>
                <w:sz w:val="18"/>
                <w:szCs w:val="18"/>
                <w:lang w:bidi="ar-SA"/>
              </w:rPr>
            </w:pPr>
          </w:p>
        </w:tc>
        <w:tc>
          <w:tcPr>
            <w:tcW w:w="1349" w:type="dxa"/>
            <w:shd w:val="clear" w:color="auto" w:fill="FFFFFF"/>
            <w:vAlign w:val="bottom"/>
          </w:tcPr>
          <w:p w14:paraId="03B985D2" w14:textId="77777777" w:rsidR="00AC46A6" w:rsidRPr="00AD537B" w:rsidRDefault="00AC46A6" w:rsidP="00AD537B">
            <w:pPr>
              <w:pStyle w:val="NoSpacing"/>
              <w:spacing w:before="240" w:after="240"/>
              <w:jc w:val="right"/>
              <w:rPr>
                <w:rFonts w:eastAsia="Courier New"/>
                <w:b/>
                <w:sz w:val="18"/>
                <w:szCs w:val="18"/>
                <w:lang w:bidi="ar-SA"/>
              </w:rPr>
            </w:pPr>
            <w:r w:rsidRPr="00AD537B">
              <w:rPr>
                <w:rFonts w:eastAsia="Courier New"/>
                <w:b/>
                <w:color w:val="0070C0"/>
                <w:sz w:val="18"/>
                <w:lang w:val="vi-VN" w:bidi="vi-VN"/>
              </w:rPr>
              <w:t>25%***</w:t>
            </w:r>
          </w:p>
        </w:tc>
      </w:tr>
    </w:tbl>
    <w:p w14:paraId="03B985D4" w14:textId="77777777" w:rsidR="00AC46A6" w:rsidRPr="00AC46A6" w:rsidRDefault="00AC46A6" w:rsidP="00AC46A6">
      <w:pPr>
        <w:pStyle w:val="NoSpacing"/>
        <w:rPr>
          <w:rFonts w:eastAsia="Courier New"/>
          <w:sz w:val="18"/>
          <w:szCs w:val="20"/>
          <w:lang w:bidi="ar-SA"/>
        </w:rPr>
      </w:pPr>
      <w:r w:rsidRPr="00AC46A6">
        <w:rPr>
          <w:rFonts w:eastAsia="Courier New"/>
          <w:sz w:val="18"/>
          <w:szCs w:val="20"/>
          <w:lang w:val="vi-VN" w:bidi="vi-VN"/>
        </w:rPr>
        <w:t>*Toàn bộ Doanh thu của Bệnh viện Trừ: Doanh thu Không được bảo hiểm, Medicaid, và Medicaid Được quản lý – 2014</w:t>
      </w:r>
    </w:p>
    <w:p w14:paraId="03B985D5" w14:textId="77777777" w:rsidR="00AC46A6" w:rsidRPr="00AC46A6" w:rsidRDefault="00AC46A6" w:rsidP="00AC46A6">
      <w:pPr>
        <w:pStyle w:val="NoSpacing"/>
        <w:rPr>
          <w:rFonts w:eastAsia="Courier New"/>
          <w:sz w:val="18"/>
          <w:szCs w:val="20"/>
          <w:lang w:bidi="ar-SA"/>
        </w:rPr>
      </w:pPr>
      <w:r w:rsidRPr="00AC46A6">
        <w:rPr>
          <w:rFonts w:eastAsia="Courier New"/>
          <w:sz w:val="18"/>
          <w:szCs w:val="20"/>
          <w:lang w:val="vi-VN" w:bidi="vi-VN"/>
        </w:rPr>
        <w:t>** Toàn bộ các khoản Khấu trừ cho cùng nhóm doanh thu</w:t>
      </w:r>
    </w:p>
    <w:p w14:paraId="03B985D6" w14:textId="77777777" w:rsidR="00AC46A6" w:rsidRPr="00AC46A6" w:rsidRDefault="00AC46A6" w:rsidP="00AC46A6">
      <w:pPr>
        <w:pStyle w:val="NoSpacing"/>
        <w:rPr>
          <w:rFonts w:eastAsia="Courier New"/>
          <w:sz w:val="18"/>
          <w:szCs w:val="20"/>
          <w:lang w:bidi="ar-SA"/>
        </w:rPr>
      </w:pPr>
      <w:r w:rsidRPr="00AC46A6">
        <w:rPr>
          <w:rFonts w:eastAsia="Courier New"/>
          <w:sz w:val="18"/>
          <w:szCs w:val="20"/>
          <w:lang w:val="vi-VN" w:bidi="vi-VN"/>
        </w:rPr>
        <w:t>*** THR Đã lựa chọn 25% AGB mang lại tỷ lệ khấu trừ lớn nhất – không kể AGB thực tế</w:t>
      </w:r>
      <w:r w:rsidRPr="00AC46A6">
        <w:rPr>
          <w:rFonts w:eastAsia="Courier New"/>
          <w:sz w:val="18"/>
          <w:szCs w:val="20"/>
          <w:lang w:val="vi-VN" w:bidi="vi-VN"/>
        </w:rPr>
        <w:br/>
        <w:t>(một AGB cho toàn bộ các cơ sở THR liệt kê ở trên và trong Tài liệu đính kèm C (đối tượng được bao trả))</w:t>
      </w:r>
    </w:p>
    <w:sectPr w:rsidR="00AC46A6" w:rsidRPr="00AC46A6" w:rsidSect="00AC46A6">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985D9" w14:textId="77777777" w:rsidR="002D489C" w:rsidRDefault="002D489C" w:rsidP="001C2B1C">
      <w:r>
        <w:separator/>
      </w:r>
    </w:p>
  </w:endnote>
  <w:endnote w:type="continuationSeparator" w:id="0">
    <w:p w14:paraId="03B985DA" w14:textId="77777777" w:rsidR="002D489C" w:rsidRDefault="002D489C" w:rsidP="001C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985E3" w14:textId="77777777" w:rsidR="00AD537B" w:rsidRPr="00AD537B" w:rsidRDefault="00AD537B" w:rsidP="00AD537B">
    <w:pPr>
      <w:pStyle w:val="Footer"/>
      <w:jc w:val="right"/>
      <w:rPr>
        <w:sz w:val="18"/>
        <w:lang w:val="en-US"/>
      </w:rPr>
    </w:pPr>
    <w:r>
      <w:rPr>
        <w:sz w:val="18"/>
        <w:lang w:val="en-US"/>
      </w:rPr>
      <w:t>TLC 11/15 THR.DI_</w:t>
    </w:r>
    <w:r w:rsidR="007D33FE" w:rsidRPr="007D33FE">
      <w:rPr>
        <w:sz w:val="18"/>
        <w:lang w:val="en-US"/>
      </w:rPr>
      <w:t xml:space="preserve"> </w:t>
    </w:r>
    <w:r w:rsidR="007D33FE">
      <w:rPr>
        <w:sz w:val="18"/>
        <w:lang w:val="en-US"/>
      </w:rPr>
      <w:t>VIETNAMESE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985F5" w14:textId="77777777" w:rsidR="00BC793A" w:rsidRPr="00BC793A" w:rsidRDefault="00BC793A" w:rsidP="00BC793A">
    <w:pPr>
      <w:pStyle w:val="Footer"/>
      <w:jc w:val="right"/>
      <w:rPr>
        <w:sz w:val="18"/>
        <w:lang w:val="en-US"/>
      </w:rPr>
    </w:pPr>
    <w:r>
      <w:rPr>
        <w:sz w:val="18"/>
        <w:lang w:val="en-US"/>
      </w:rPr>
      <w:t>TLC 11/15 THR.DI_VI</w:t>
    </w:r>
    <w:r w:rsidR="007D33FE">
      <w:rPr>
        <w:sz w:val="18"/>
        <w:lang w:val="en-US"/>
      </w:rPr>
      <w:t>ETNAMESE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985D7" w14:textId="77777777" w:rsidR="002D489C" w:rsidRDefault="002D489C" w:rsidP="001C2B1C">
      <w:r>
        <w:separator/>
      </w:r>
    </w:p>
  </w:footnote>
  <w:footnote w:type="continuationSeparator" w:id="0">
    <w:p w14:paraId="03B985D8" w14:textId="77777777" w:rsidR="002D489C" w:rsidRDefault="002D489C" w:rsidP="001C2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985DB" w14:textId="77777777" w:rsidR="00AC46A6" w:rsidRPr="00F11F63" w:rsidRDefault="00234E93" w:rsidP="00DB49D8">
    <w:pPr>
      <w:pStyle w:val="NoSpacing"/>
      <w:jc w:val="right"/>
      <w:rPr>
        <w:b/>
        <w:bCs/>
        <w:i/>
        <w:iCs/>
      </w:rPr>
    </w:pPr>
    <w:r>
      <w:rPr>
        <w:b/>
        <w:i/>
        <w:noProof/>
        <w:lang w:eastAsia="en-US" w:bidi="ar-SA"/>
      </w:rPr>
      <w:drawing>
        <wp:anchor distT="0" distB="0" distL="114300" distR="114300" simplePos="0" relativeHeight="251662336" behindDoc="0" locked="0" layoutInCell="1" allowOverlap="1" wp14:anchorId="03B985F6" wp14:editId="03B985F7">
          <wp:simplePos x="0" y="0"/>
          <wp:positionH relativeFrom="column">
            <wp:posOffset>-168910</wp:posOffset>
          </wp:positionH>
          <wp:positionV relativeFrom="paragraph">
            <wp:posOffset>-28575</wp:posOffset>
          </wp:positionV>
          <wp:extent cx="2479675" cy="616585"/>
          <wp:effectExtent l="0" t="0" r="0" b="0"/>
          <wp:wrapSquare wrapText="bothSides"/>
          <wp:docPr id="1" name="Picture 4" descr="C:\Users\laugem01\Documents\My Documents\Clients\THR\THR_2.2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gem01\Documents\My Documents\Clients\THR\THR_2.23.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967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985DC" w14:textId="77777777" w:rsidR="00AC46A6" w:rsidRDefault="00AC46A6" w:rsidP="00DB49D8">
    <w:pPr>
      <w:pStyle w:val="NoSpacing"/>
      <w:jc w:val="right"/>
    </w:pPr>
    <w:r w:rsidRPr="00F11F63">
      <w:rPr>
        <w:b/>
        <w:i/>
        <w:lang w:val="vi-VN" w:bidi="vi-VN"/>
      </w:rPr>
      <w:t xml:space="preserve">Dịch vụ Hệ thống </w:t>
    </w:r>
    <w:r w:rsidRPr="00F11F63">
      <w:rPr>
        <w:b/>
        <w:lang w:val="vi-VN" w:bidi="vi-VN"/>
      </w:rPr>
      <w:t>–</w:t>
    </w:r>
    <w:r w:rsidRPr="00F11F63">
      <w:rPr>
        <w:lang w:val="vi-VN" w:bidi="vi-VN"/>
      </w:rPr>
      <w:t xml:space="preserve"> </w:t>
    </w:r>
    <w:r w:rsidRPr="00F11F63">
      <w:rPr>
        <w:b/>
        <w:i/>
        <w:lang w:val="vi-VN" w:bidi="vi-VN"/>
      </w:rPr>
      <w:t>Tài chính</w:t>
    </w:r>
  </w:p>
  <w:p w14:paraId="03B985DD" w14:textId="77777777" w:rsidR="00AC46A6" w:rsidRPr="004F3163" w:rsidRDefault="004F3163" w:rsidP="00DB49D8">
    <w:pPr>
      <w:pStyle w:val="NoSpacing"/>
      <w:jc w:val="right"/>
      <w:rPr>
        <w:i/>
      </w:rPr>
    </w:pPr>
    <w:r>
      <w:rPr>
        <w:i/>
      </w:rPr>
      <w:t>System Services – Finance</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0770"/>
    </w:tblGrid>
    <w:tr w:rsidR="00AC46A6" w:rsidRPr="0020615D" w14:paraId="03B985DF" w14:textId="77777777" w:rsidTr="003D6086">
      <w:trPr>
        <w:trHeight w:val="144"/>
      </w:trPr>
      <w:tc>
        <w:tcPr>
          <w:tcW w:w="10908" w:type="dxa"/>
        </w:tcPr>
        <w:p w14:paraId="03B985DE" w14:textId="77777777" w:rsidR="00AC46A6" w:rsidRPr="004F3163" w:rsidRDefault="00AC46A6" w:rsidP="00DB49D8">
          <w:pPr>
            <w:pStyle w:val="NoSpacing"/>
            <w:rPr>
              <w:bCs/>
            </w:rPr>
          </w:pPr>
          <w:r w:rsidRPr="00DB49D8">
            <w:rPr>
              <w:b/>
              <w:lang w:val="vi-VN" w:bidi="vi-VN"/>
            </w:rPr>
            <w:t>Tên Chính sách: Chính sách Hỗ trợ Tài chính</w:t>
          </w:r>
          <w:r w:rsidR="004F3163">
            <w:rPr>
              <w:lang w:bidi="vi-VN"/>
            </w:rPr>
            <w:t xml:space="preserve"> / </w:t>
          </w:r>
          <w:r w:rsidR="004F3163" w:rsidRPr="004F3163">
            <w:rPr>
              <w:i/>
              <w:sz w:val="20"/>
              <w:lang w:bidi="vi-VN"/>
            </w:rPr>
            <w:t>Policy Name: Financial Assistance Policy</w:t>
          </w:r>
        </w:p>
      </w:tc>
    </w:tr>
    <w:tr w:rsidR="00AC46A6" w:rsidRPr="0020615D" w14:paraId="03B985E1" w14:textId="77777777" w:rsidTr="003D6086">
      <w:trPr>
        <w:trHeight w:val="144"/>
      </w:trPr>
      <w:tc>
        <w:tcPr>
          <w:tcW w:w="10908" w:type="dxa"/>
          <w:vAlign w:val="bottom"/>
        </w:tcPr>
        <w:p w14:paraId="03B985E0" w14:textId="77777777" w:rsidR="00AC46A6" w:rsidRPr="004F3163" w:rsidRDefault="00AC46A6" w:rsidP="004F3163">
          <w:pPr>
            <w:pStyle w:val="NoSpacing"/>
            <w:rPr>
              <w:bCs/>
            </w:rPr>
          </w:pPr>
          <w:r w:rsidRPr="00DB49D8">
            <w:rPr>
              <w:b/>
              <w:lang w:val="vi-VN" w:bidi="vi-VN"/>
            </w:rPr>
            <w:t xml:space="preserve">Trang </w:t>
          </w:r>
          <w:r w:rsidRPr="00DB49D8">
            <w:rPr>
              <w:b/>
              <w:lang w:val="vi-VN" w:bidi="vi-VN"/>
            </w:rPr>
            <w:fldChar w:fldCharType="begin"/>
          </w:r>
          <w:r w:rsidRPr="00DB49D8">
            <w:rPr>
              <w:b/>
              <w:lang w:val="vi-VN" w:bidi="vi-VN"/>
            </w:rPr>
            <w:instrText xml:space="preserve"> PAGE </w:instrText>
          </w:r>
          <w:r w:rsidRPr="00DB49D8">
            <w:rPr>
              <w:b/>
              <w:lang w:val="vi-VN" w:bidi="vi-VN"/>
            </w:rPr>
            <w:fldChar w:fldCharType="separate"/>
          </w:r>
          <w:r w:rsidR="00F73B24">
            <w:rPr>
              <w:b/>
              <w:noProof/>
              <w:lang w:val="vi-VN" w:bidi="vi-VN"/>
            </w:rPr>
            <w:t>6</w:t>
          </w:r>
          <w:r w:rsidRPr="00DB49D8">
            <w:rPr>
              <w:b/>
              <w:lang w:val="vi-VN" w:bidi="vi-VN"/>
            </w:rPr>
            <w:fldChar w:fldCharType="end"/>
          </w:r>
          <w:r w:rsidRPr="00DB49D8">
            <w:rPr>
              <w:b/>
              <w:lang w:val="vi-VN" w:bidi="vi-VN"/>
            </w:rPr>
            <w:t>/</w:t>
          </w:r>
          <w:r w:rsidRPr="00DB49D8">
            <w:rPr>
              <w:b/>
              <w:lang w:val="vi-VN" w:bidi="vi-VN"/>
            </w:rPr>
            <w:fldChar w:fldCharType="begin"/>
          </w:r>
          <w:r w:rsidRPr="00DB49D8">
            <w:rPr>
              <w:b/>
              <w:lang w:val="vi-VN" w:bidi="vi-VN"/>
            </w:rPr>
            <w:instrText xml:space="preserve"> NUMPAGES  \* Arabic  \* MERGEFORMAT </w:instrText>
          </w:r>
          <w:r w:rsidRPr="00DB49D8">
            <w:rPr>
              <w:b/>
              <w:lang w:val="vi-VN" w:bidi="vi-VN"/>
            </w:rPr>
            <w:fldChar w:fldCharType="separate"/>
          </w:r>
          <w:r w:rsidR="00F73B24">
            <w:rPr>
              <w:b/>
              <w:noProof/>
              <w:lang w:val="vi-VN" w:bidi="vi-VN"/>
            </w:rPr>
            <w:t>21</w:t>
          </w:r>
          <w:r w:rsidRPr="00DB49D8">
            <w:rPr>
              <w:b/>
              <w:lang w:val="vi-VN" w:bidi="vi-VN"/>
            </w:rPr>
            <w:fldChar w:fldCharType="end"/>
          </w:r>
          <w:r w:rsidR="004F3163">
            <w:rPr>
              <w:lang w:bidi="vi-VN"/>
            </w:rPr>
            <w:t xml:space="preserve"> / </w:t>
          </w:r>
          <w:r w:rsidR="004F3163" w:rsidRPr="004F3163">
            <w:rPr>
              <w:i/>
              <w:lang w:val="vi-VN" w:bidi="vi-VN"/>
            </w:rPr>
            <w:t xml:space="preserve">Page </w:t>
          </w:r>
          <w:r w:rsidR="004F3163" w:rsidRPr="004F3163">
            <w:rPr>
              <w:i/>
              <w:lang w:val="vi-VN" w:bidi="vi-VN"/>
            </w:rPr>
            <w:fldChar w:fldCharType="begin"/>
          </w:r>
          <w:r w:rsidR="004F3163" w:rsidRPr="004F3163">
            <w:rPr>
              <w:i/>
              <w:lang w:val="vi-VN" w:bidi="vi-VN"/>
            </w:rPr>
            <w:instrText xml:space="preserve"> PAGE </w:instrText>
          </w:r>
          <w:r w:rsidR="004F3163" w:rsidRPr="004F3163">
            <w:rPr>
              <w:i/>
              <w:lang w:val="vi-VN" w:bidi="vi-VN"/>
            </w:rPr>
            <w:fldChar w:fldCharType="separate"/>
          </w:r>
          <w:r w:rsidR="00F73B24">
            <w:rPr>
              <w:i/>
              <w:noProof/>
              <w:lang w:val="vi-VN" w:bidi="vi-VN"/>
            </w:rPr>
            <w:t>6</w:t>
          </w:r>
          <w:r w:rsidR="004F3163" w:rsidRPr="004F3163">
            <w:rPr>
              <w:i/>
              <w:lang w:val="vi-VN" w:bidi="vi-VN"/>
            </w:rPr>
            <w:fldChar w:fldCharType="end"/>
          </w:r>
          <w:r w:rsidR="004F3163" w:rsidRPr="004F3163">
            <w:rPr>
              <w:i/>
              <w:lang w:bidi="vi-VN"/>
            </w:rPr>
            <w:t xml:space="preserve"> of </w:t>
          </w:r>
          <w:r w:rsidR="004F3163" w:rsidRPr="004F3163">
            <w:rPr>
              <w:i/>
              <w:lang w:val="vi-VN" w:bidi="vi-VN"/>
            </w:rPr>
            <w:fldChar w:fldCharType="begin"/>
          </w:r>
          <w:r w:rsidR="004F3163" w:rsidRPr="004F3163">
            <w:rPr>
              <w:i/>
              <w:lang w:val="vi-VN" w:bidi="vi-VN"/>
            </w:rPr>
            <w:instrText xml:space="preserve"> NUMPAGES  \* Arabic  \* MERGEFORMAT </w:instrText>
          </w:r>
          <w:r w:rsidR="004F3163" w:rsidRPr="004F3163">
            <w:rPr>
              <w:i/>
              <w:lang w:val="vi-VN" w:bidi="vi-VN"/>
            </w:rPr>
            <w:fldChar w:fldCharType="separate"/>
          </w:r>
          <w:r w:rsidR="00F73B24">
            <w:rPr>
              <w:i/>
              <w:noProof/>
              <w:lang w:val="vi-VN" w:bidi="vi-VN"/>
            </w:rPr>
            <w:t>21</w:t>
          </w:r>
          <w:r w:rsidR="004F3163" w:rsidRPr="004F3163">
            <w:rPr>
              <w:i/>
              <w:lang w:val="vi-VN" w:bidi="vi-VN"/>
            </w:rPr>
            <w:fldChar w:fldCharType="end"/>
          </w:r>
        </w:p>
      </w:tc>
    </w:tr>
  </w:tbl>
  <w:p w14:paraId="03B985E2" w14:textId="77777777" w:rsidR="00AC46A6" w:rsidRDefault="00AC46A6" w:rsidP="00DB49D8">
    <w:pPr>
      <w:pStyle w:val="No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985E4" w14:textId="77777777" w:rsidR="00AC46A6" w:rsidRPr="00E6418C" w:rsidRDefault="00234E93" w:rsidP="00DB49D8">
    <w:pPr>
      <w:pStyle w:val="NoSpacing"/>
      <w:jc w:val="right"/>
      <w:rPr>
        <w:szCs w:val="22"/>
      </w:rPr>
    </w:pPr>
    <w:r>
      <w:rPr>
        <w:noProof/>
        <w:lang w:eastAsia="en-US" w:bidi="ar-SA"/>
      </w:rPr>
      <w:drawing>
        <wp:anchor distT="0" distB="0" distL="114300" distR="114300" simplePos="0" relativeHeight="251670528" behindDoc="0" locked="0" layoutInCell="1" allowOverlap="1" wp14:anchorId="03B985F8" wp14:editId="03B985F9">
          <wp:simplePos x="0" y="0"/>
          <wp:positionH relativeFrom="column">
            <wp:posOffset>-204470</wp:posOffset>
          </wp:positionH>
          <wp:positionV relativeFrom="paragraph">
            <wp:posOffset>-233680</wp:posOffset>
          </wp:positionV>
          <wp:extent cx="2479675" cy="616585"/>
          <wp:effectExtent l="0" t="0" r="0" b="0"/>
          <wp:wrapNone/>
          <wp:docPr id="2" name="Picture 4" descr="C:\Users\laugem01\Documents\My Documents\Clients\THR\THR_2.2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gem01\Documents\My Documents\Clients\THR\THR_2.23.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967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985E5" w14:textId="77777777" w:rsidR="00AC46A6" w:rsidRPr="00D9466F" w:rsidRDefault="00AC46A6" w:rsidP="00DB49D8">
    <w:pPr>
      <w:pStyle w:val="NoSpacing"/>
      <w:jc w:val="right"/>
      <w:rPr>
        <w:bCs/>
        <w:i/>
      </w:rPr>
    </w:pPr>
    <w:r w:rsidRPr="00DB49D8">
      <w:rPr>
        <w:b/>
        <w:i/>
        <w:lang w:val="vi-VN" w:bidi="vi-VN"/>
      </w:rPr>
      <w:t xml:space="preserve">Dịch vụ Hệ thống </w:t>
    </w:r>
    <w:r w:rsidRPr="00DB49D8">
      <w:rPr>
        <w:b/>
        <w:lang w:val="vi-VN" w:bidi="vi-VN"/>
      </w:rPr>
      <w:t>–</w:t>
    </w:r>
    <w:r w:rsidRPr="00DB49D8">
      <w:rPr>
        <w:lang w:val="vi-VN" w:bidi="vi-VN"/>
      </w:rPr>
      <w:t xml:space="preserve"> </w:t>
    </w:r>
    <w:r w:rsidRPr="00DB49D8">
      <w:rPr>
        <w:b/>
        <w:i/>
        <w:lang w:val="vi-VN" w:bidi="vi-VN"/>
      </w:rPr>
      <w:t>Tài chính</w:t>
    </w:r>
    <w:r w:rsidR="00D9466F">
      <w:rPr>
        <w:b/>
        <w:i/>
        <w:lang w:val="vi-VN" w:bidi="vi-VN"/>
      </w:rPr>
      <w:br/>
    </w:r>
    <w:r w:rsidR="00D9466F">
      <w:rPr>
        <w:i/>
        <w:lang w:bidi="vi-VN"/>
      </w:rPr>
      <w:t>System Services – Finance</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5656"/>
      <w:gridCol w:w="5114"/>
    </w:tblGrid>
    <w:tr w:rsidR="00AC46A6" w:rsidRPr="0020615D" w14:paraId="03B985E7" w14:textId="77777777" w:rsidTr="00031FAE">
      <w:trPr>
        <w:trHeight w:val="432"/>
      </w:trPr>
      <w:tc>
        <w:tcPr>
          <w:tcW w:w="10998" w:type="dxa"/>
          <w:gridSpan w:val="2"/>
          <w:vAlign w:val="bottom"/>
        </w:tcPr>
        <w:p w14:paraId="03B985E6" w14:textId="77777777" w:rsidR="00AC46A6" w:rsidRPr="00D9466F" w:rsidRDefault="00AC46A6" w:rsidP="00031FAE">
          <w:pPr>
            <w:pStyle w:val="NoSpacing"/>
            <w:spacing w:after="120"/>
            <w:rPr>
              <w:bCs/>
              <w:i/>
              <w:szCs w:val="22"/>
            </w:rPr>
          </w:pPr>
          <w:r w:rsidRPr="00DB49D8">
            <w:rPr>
              <w:b/>
              <w:szCs w:val="22"/>
              <w:lang w:val="vi-VN" w:bidi="vi-VN"/>
            </w:rPr>
            <w:t>Tên Chính sách: Chính sách Hỗ trợ Tài chính</w:t>
          </w:r>
          <w:r w:rsidR="00D9466F">
            <w:rPr>
              <w:szCs w:val="22"/>
              <w:lang w:bidi="vi-VN"/>
            </w:rPr>
            <w:t xml:space="preserve"> / </w:t>
          </w:r>
          <w:r w:rsidR="00D9466F" w:rsidRPr="00D9466F">
            <w:rPr>
              <w:i/>
              <w:sz w:val="20"/>
              <w:szCs w:val="22"/>
              <w:lang w:bidi="vi-VN"/>
            </w:rPr>
            <w:t>Policy Name: Financial Assistance Policy</w:t>
          </w:r>
        </w:p>
      </w:tc>
    </w:tr>
    <w:tr w:rsidR="00AC46A6" w:rsidRPr="00B37F74" w14:paraId="03B985EC" w14:textId="77777777" w:rsidTr="00031FAE">
      <w:trPr>
        <w:trHeight w:val="432"/>
      </w:trPr>
      <w:tc>
        <w:tcPr>
          <w:tcW w:w="5778" w:type="dxa"/>
        </w:tcPr>
        <w:p w14:paraId="03B985E8" w14:textId="77777777" w:rsidR="00AC46A6" w:rsidRPr="00DB49D8" w:rsidRDefault="00AC46A6" w:rsidP="00DB49D8">
          <w:pPr>
            <w:pStyle w:val="NoSpacing"/>
            <w:rPr>
              <w:b/>
              <w:bCs/>
              <w:szCs w:val="22"/>
            </w:rPr>
          </w:pPr>
          <w:r w:rsidRPr="00DB49D8">
            <w:rPr>
              <w:b/>
              <w:szCs w:val="22"/>
              <w:lang w:val="vi-VN" w:bidi="vi-VN"/>
            </w:rPr>
            <w:t>Người đề ra Chính sách</w:t>
          </w:r>
          <w:r w:rsidR="00D9466F">
            <w:rPr>
              <w:szCs w:val="22"/>
              <w:lang w:bidi="vi-VN"/>
            </w:rPr>
            <w:t xml:space="preserve"> / </w:t>
          </w:r>
          <w:r w:rsidR="00D9466F" w:rsidRPr="00D9466F">
            <w:rPr>
              <w:i/>
              <w:sz w:val="20"/>
              <w:szCs w:val="22"/>
              <w:lang w:bidi="vi-VN"/>
            </w:rPr>
            <w:t>Policy Owner</w:t>
          </w:r>
          <w:r w:rsidRPr="00DB49D8">
            <w:rPr>
              <w:b/>
              <w:szCs w:val="22"/>
              <w:lang w:val="vi-VN" w:bidi="vi-VN"/>
            </w:rPr>
            <w:t>:</w:t>
          </w:r>
        </w:p>
        <w:p w14:paraId="03B985E9" w14:textId="77777777" w:rsidR="00AC46A6" w:rsidRPr="00D9466F" w:rsidRDefault="00AC46A6" w:rsidP="00DB49D8">
          <w:pPr>
            <w:pStyle w:val="NoSpacing"/>
            <w:rPr>
              <w:i/>
            </w:rPr>
          </w:pPr>
          <w:r w:rsidRPr="00DB49D8">
            <w:rPr>
              <w:lang w:val="vi-VN" w:bidi="vi-VN"/>
            </w:rPr>
            <w:t>Phó Giám</w:t>
          </w:r>
          <w:r w:rsidR="00D9466F">
            <w:rPr>
              <w:lang w:val="vi-VN" w:bidi="vi-VN"/>
            </w:rPr>
            <w:t xml:space="preserve"> đốc phụ trách Chu kỳ Doanh thu</w:t>
          </w:r>
          <w:r w:rsidR="00D9466F">
            <w:rPr>
              <w:lang w:val="vi-VN" w:bidi="vi-VN"/>
            </w:rPr>
            <w:br/>
          </w:r>
          <w:r w:rsidR="00D9466F" w:rsidRPr="00D9466F">
            <w:rPr>
              <w:i/>
              <w:sz w:val="20"/>
              <w:lang w:bidi="vi-VN"/>
            </w:rPr>
            <w:t>Vice President Revenue Cycle</w:t>
          </w:r>
        </w:p>
      </w:tc>
      <w:tc>
        <w:tcPr>
          <w:tcW w:w="5220" w:type="dxa"/>
        </w:tcPr>
        <w:p w14:paraId="03B985EA" w14:textId="77777777" w:rsidR="004B089A" w:rsidRDefault="00AC46A6" w:rsidP="00DB49D8">
          <w:pPr>
            <w:pStyle w:val="NoSpacing"/>
            <w:rPr>
              <w:b/>
              <w:bCs/>
              <w:szCs w:val="22"/>
            </w:rPr>
          </w:pPr>
          <w:r w:rsidRPr="00DB49D8">
            <w:rPr>
              <w:b/>
              <w:szCs w:val="22"/>
              <w:lang w:val="vi-VN" w:bidi="vi-VN"/>
            </w:rPr>
            <w:t>Ngày hiệu lực</w:t>
          </w:r>
          <w:r w:rsidR="00D9466F">
            <w:rPr>
              <w:szCs w:val="22"/>
              <w:lang w:bidi="vi-VN"/>
            </w:rPr>
            <w:t xml:space="preserve"> / </w:t>
          </w:r>
          <w:r w:rsidR="00D9466F" w:rsidRPr="00D9466F">
            <w:rPr>
              <w:i/>
              <w:sz w:val="20"/>
              <w:szCs w:val="22"/>
              <w:lang w:bidi="vi-VN"/>
            </w:rPr>
            <w:t>Effective Date</w:t>
          </w:r>
          <w:r w:rsidRPr="00DB49D8">
            <w:rPr>
              <w:b/>
              <w:szCs w:val="22"/>
              <w:lang w:val="vi-VN" w:bidi="vi-VN"/>
            </w:rPr>
            <w:t>:</w:t>
          </w:r>
        </w:p>
        <w:p w14:paraId="03B985EB" w14:textId="77777777" w:rsidR="00AC46A6" w:rsidRPr="00DB49D8" w:rsidRDefault="00AC46A6" w:rsidP="00DB49D8">
          <w:pPr>
            <w:pStyle w:val="NoSpacing"/>
            <w:rPr>
              <w:b/>
              <w:bCs/>
            </w:rPr>
          </w:pPr>
        </w:p>
      </w:tc>
    </w:tr>
    <w:tr w:rsidR="00AC46A6" w:rsidRPr="00B37F74" w14:paraId="03B985F1" w14:textId="77777777" w:rsidTr="00031FAE">
      <w:trPr>
        <w:trHeight w:val="432"/>
      </w:trPr>
      <w:tc>
        <w:tcPr>
          <w:tcW w:w="5778" w:type="dxa"/>
          <w:vAlign w:val="bottom"/>
        </w:tcPr>
        <w:p w14:paraId="03B985ED" w14:textId="77777777" w:rsidR="00AC46A6" w:rsidRPr="00DB49D8" w:rsidRDefault="00AC46A6" w:rsidP="00DB49D8">
          <w:pPr>
            <w:pStyle w:val="NoSpacing"/>
            <w:rPr>
              <w:b/>
              <w:bCs/>
              <w:szCs w:val="22"/>
            </w:rPr>
          </w:pPr>
          <w:r w:rsidRPr="00DB49D8">
            <w:rPr>
              <w:b/>
              <w:szCs w:val="22"/>
              <w:lang w:val="vi-VN" w:bidi="vi-VN"/>
            </w:rPr>
            <w:t>Duyệt bởi</w:t>
          </w:r>
          <w:r w:rsidR="00D9466F">
            <w:rPr>
              <w:szCs w:val="22"/>
              <w:lang w:bidi="vi-VN"/>
            </w:rPr>
            <w:t xml:space="preserve"> / </w:t>
          </w:r>
          <w:r w:rsidR="00D9466F" w:rsidRPr="00D9466F">
            <w:rPr>
              <w:i/>
              <w:sz w:val="20"/>
              <w:szCs w:val="22"/>
              <w:lang w:bidi="vi-VN"/>
            </w:rPr>
            <w:t>Approved By</w:t>
          </w:r>
          <w:r w:rsidRPr="00DB49D8">
            <w:rPr>
              <w:b/>
              <w:szCs w:val="22"/>
              <w:lang w:val="vi-VN" w:bidi="vi-VN"/>
            </w:rPr>
            <w:t>:</w:t>
          </w:r>
        </w:p>
        <w:p w14:paraId="03B985EE" w14:textId="77777777" w:rsidR="00AC46A6" w:rsidRPr="00D9466F" w:rsidRDefault="00AC46A6" w:rsidP="00DB49D8">
          <w:pPr>
            <w:pStyle w:val="NoSpacing"/>
            <w:rPr>
              <w:i/>
            </w:rPr>
          </w:pPr>
          <w:r w:rsidRPr="00DB49D8">
            <w:rPr>
              <w:szCs w:val="22"/>
              <w:lang w:val="vi-VN" w:bidi="vi-VN"/>
            </w:rPr>
            <w:t>Ủy ban Kiểm toán &amp; Tuân thủ của Texas Health</w:t>
          </w:r>
          <w:r w:rsidR="00D9466F">
            <w:rPr>
              <w:szCs w:val="22"/>
              <w:lang w:bidi="vi-VN"/>
            </w:rPr>
            <w:br/>
          </w:r>
          <w:r w:rsidR="00D9466F" w:rsidRPr="00D9466F">
            <w:rPr>
              <w:i/>
              <w:sz w:val="20"/>
              <w:szCs w:val="22"/>
              <w:lang w:bidi="vi-VN"/>
            </w:rPr>
            <w:t>Texas Health Audit &amp; Compliance Committee</w:t>
          </w:r>
        </w:p>
      </w:tc>
      <w:tc>
        <w:tcPr>
          <w:tcW w:w="5220" w:type="dxa"/>
        </w:tcPr>
        <w:p w14:paraId="03B985EF" w14:textId="77777777" w:rsidR="004B089A" w:rsidRDefault="00AC46A6" w:rsidP="00DB49D8">
          <w:pPr>
            <w:pStyle w:val="NoSpacing"/>
            <w:rPr>
              <w:b/>
              <w:bCs/>
              <w:szCs w:val="22"/>
            </w:rPr>
          </w:pPr>
          <w:r w:rsidRPr="00DB49D8">
            <w:rPr>
              <w:b/>
              <w:szCs w:val="22"/>
              <w:lang w:val="vi-VN" w:bidi="vi-VN"/>
            </w:rPr>
            <w:t>Ngày Xem xét gần nhất</w:t>
          </w:r>
          <w:r w:rsidR="00D9466F">
            <w:rPr>
              <w:szCs w:val="22"/>
              <w:lang w:bidi="vi-VN"/>
            </w:rPr>
            <w:t xml:space="preserve"> / </w:t>
          </w:r>
          <w:r w:rsidR="00D9466F" w:rsidRPr="00D9466F">
            <w:rPr>
              <w:i/>
              <w:sz w:val="20"/>
              <w:szCs w:val="22"/>
              <w:lang w:bidi="vi-VN"/>
            </w:rPr>
            <w:t>Last Reviewed Date</w:t>
          </w:r>
          <w:r w:rsidRPr="00DB49D8">
            <w:rPr>
              <w:b/>
              <w:szCs w:val="22"/>
              <w:lang w:val="vi-VN" w:bidi="vi-VN"/>
            </w:rPr>
            <w:t>:</w:t>
          </w:r>
        </w:p>
        <w:p w14:paraId="03B985F0" w14:textId="77777777" w:rsidR="00AC46A6" w:rsidRPr="00DB49D8" w:rsidRDefault="00AC46A6" w:rsidP="00DB49D8">
          <w:pPr>
            <w:pStyle w:val="NoSpacing"/>
          </w:pPr>
          <w:r w:rsidRPr="00DB49D8">
            <w:rPr>
              <w:szCs w:val="22"/>
              <w:lang w:val="vi-VN" w:bidi="vi-VN"/>
            </w:rPr>
            <w:fldChar w:fldCharType="begin"/>
          </w:r>
          <w:r w:rsidRPr="00DB49D8">
            <w:rPr>
              <w:szCs w:val="22"/>
              <w:lang w:val="vi-VN" w:bidi="vi-VN"/>
            </w:rPr>
            <w:instrText xml:space="preserve"> DOCVARIABLE "Effective Date" \* MERGEFORMAT </w:instrText>
          </w:r>
          <w:r w:rsidRPr="00DB49D8">
            <w:rPr>
              <w:szCs w:val="22"/>
              <w:lang w:val="vi-VN" w:bidi="vi-VN"/>
            </w:rPr>
            <w:fldChar w:fldCharType="separate"/>
          </w:r>
          <w:r w:rsidRPr="00DB49D8">
            <w:rPr>
              <w:szCs w:val="22"/>
              <w:lang w:val="vi-VN" w:bidi="vi-VN"/>
            </w:rPr>
            <w:t>06/19/2013</w:t>
          </w:r>
          <w:r w:rsidRPr="00DB49D8">
            <w:rPr>
              <w:szCs w:val="22"/>
              <w:lang w:val="vi-VN" w:bidi="vi-VN"/>
            </w:rPr>
            <w:fldChar w:fldCharType="end"/>
          </w:r>
        </w:p>
      </w:tc>
    </w:tr>
    <w:tr w:rsidR="00AC46A6" w:rsidRPr="0020615D" w14:paraId="03B985F3" w14:textId="77777777" w:rsidTr="00031FAE">
      <w:trPr>
        <w:trHeight w:val="20"/>
      </w:trPr>
      <w:tc>
        <w:tcPr>
          <w:tcW w:w="10998" w:type="dxa"/>
          <w:gridSpan w:val="2"/>
          <w:vAlign w:val="bottom"/>
        </w:tcPr>
        <w:p w14:paraId="03B985F2" w14:textId="77777777" w:rsidR="00AC46A6" w:rsidRPr="00D9466F" w:rsidRDefault="00AC46A6" w:rsidP="00D9466F">
          <w:pPr>
            <w:pStyle w:val="NoSpacing"/>
            <w:rPr>
              <w:b/>
              <w:bCs/>
            </w:rPr>
          </w:pPr>
          <w:r w:rsidRPr="00DB49D8">
            <w:rPr>
              <w:b/>
              <w:szCs w:val="22"/>
              <w:lang w:val="vi-VN" w:bidi="vi-VN"/>
            </w:rPr>
            <w:t xml:space="preserve">Trang </w:t>
          </w:r>
          <w:r w:rsidRPr="00DB49D8">
            <w:rPr>
              <w:b/>
              <w:szCs w:val="22"/>
              <w:lang w:val="vi-VN" w:bidi="vi-VN"/>
            </w:rPr>
            <w:fldChar w:fldCharType="begin"/>
          </w:r>
          <w:r w:rsidRPr="00DB49D8">
            <w:rPr>
              <w:b/>
              <w:szCs w:val="22"/>
              <w:lang w:val="vi-VN" w:bidi="vi-VN"/>
            </w:rPr>
            <w:instrText xml:space="preserve"> PAGE </w:instrText>
          </w:r>
          <w:r w:rsidRPr="00DB49D8">
            <w:rPr>
              <w:b/>
              <w:szCs w:val="22"/>
              <w:lang w:val="vi-VN" w:bidi="vi-VN"/>
            </w:rPr>
            <w:fldChar w:fldCharType="separate"/>
          </w:r>
          <w:r w:rsidR="00F73B24">
            <w:rPr>
              <w:b/>
              <w:noProof/>
              <w:szCs w:val="22"/>
              <w:lang w:val="vi-VN" w:bidi="vi-VN"/>
            </w:rPr>
            <w:t>1</w:t>
          </w:r>
          <w:r w:rsidRPr="00DB49D8">
            <w:rPr>
              <w:b/>
              <w:szCs w:val="22"/>
              <w:lang w:val="vi-VN" w:bidi="vi-VN"/>
            </w:rPr>
            <w:fldChar w:fldCharType="end"/>
          </w:r>
          <w:r w:rsidRPr="00DB49D8">
            <w:rPr>
              <w:b/>
              <w:szCs w:val="22"/>
              <w:lang w:val="vi-VN" w:bidi="vi-VN"/>
            </w:rPr>
            <w:t>/</w:t>
          </w:r>
          <w:r w:rsidRPr="00DB49D8">
            <w:rPr>
              <w:b/>
              <w:szCs w:val="22"/>
              <w:lang w:val="vi-VN" w:bidi="vi-VN"/>
            </w:rPr>
            <w:fldChar w:fldCharType="begin"/>
          </w:r>
          <w:r w:rsidRPr="00DB49D8">
            <w:rPr>
              <w:b/>
              <w:szCs w:val="22"/>
              <w:lang w:val="vi-VN" w:bidi="vi-VN"/>
            </w:rPr>
            <w:instrText xml:space="preserve"> NUMPAGES  \* Arabic  \* MERGEFORMAT </w:instrText>
          </w:r>
          <w:r w:rsidRPr="00DB49D8">
            <w:rPr>
              <w:b/>
              <w:szCs w:val="22"/>
              <w:lang w:val="vi-VN" w:bidi="vi-VN"/>
            </w:rPr>
            <w:fldChar w:fldCharType="separate"/>
          </w:r>
          <w:r w:rsidR="00F73B24">
            <w:rPr>
              <w:b/>
              <w:noProof/>
              <w:szCs w:val="22"/>
              <w:lang w:val="vi-VN" w:bidi="vi-VN"/>
            </w:rPr>
            <w:t>21</w:t>
          </w:r>
          <w:r w:rsidRPr="00DB49D8">
            <w:rPr>
              <w:b/>
              <w:szCs w:val="22"/>
              <w:lang w:val="vi-VN" w:bidi="vi-VN"/>
            </w:rPr>
            <w:fldChar w:fldCharType="end"/>
          </w:r>
          <w:r w:rsidR="00D9466F">
            <w:rPr>
              <w:b/>
              <w:szCs w:val="22"/>
              <w:lang w:bidi="vi-VN"/>
            </w:rPr>
            <w:t xml:space="preserve"> / </w:t>
          </w:r>
          <w:r w:rsidR="00D9466F" w:rsidRPr="00D9466F">
            <w:rPr>
              <w:i/>
              <w:sz w:val="20"/>
              <w:szCs w:val="22"/>
              <w:lang w:val="vi-VN" w:bidi="vi-VN"/>
            </w:rPr>
            <w:t xml:space="preserve">Pages </w:t>
          </w:r>
          <w:r w:rsidR="00D9466F" w:rsidRPr="00D9466F">
            <w:rPr>
              <w:i/>
              <w:sz w:val="20"/>
              <w:szCs w:val="22"/>
              <w:lang w:val="vi-VN" w:bidi="vi-VN"/>
            </w:rPr>
            <w:fldChar w:fldCharType="begin"/>
          </w:r>
          <w:r w:rsidR="00D9466F" w:rsidRPr="00D9466F">
            <w:rPr>
              <w:i/>
              <w:sz w:val="20"/>
              <w:szCs w:val="22"/>
              <w:lang w:val="vi-VN" w:bidi="vi-VN"/>
            </w:rPr>
            <w:instrText xml:space="preserve"> PAGE </w:instrText>
          </w:r>
          <w:r w:rsidR="00D9466F" w:rsidRPr="00D9466F">
            <w:rPr>
              <w:i/>
              <w:sz w:val="20"/>
              <w:szCs w:val="22"/>
              <w:lang w:val="vi-VN" w:bidi="vi-VN"/>
            </w:rPr>
            <w:fldChar w:fldCharType="separate"/>
          </w:r>
          <w:r w:rsidR="00F73B24">
            <w:rPr>
              <w:i/>
              <w:noProof/>
              <w:sz w:val="20"/>
              <w:szCs w:val="22"/>
              <w:lang w:val="vi-VN" w:bidi="vi-VN"/>
            </w:rPr>
            <w:t>1</w:t>
          </w:r>
          <w:r w:rsidR="00D9466F" w:rsidRPr="00D9466F">
            <w:rPr>
              <w:i/>
              <w:sz w:val="20"/>
              <w:szCs w:val="22"/>
              <w:lang w:val="vi-VN" w:bidi="vi-VN"/>
            </w:rPr>
            <w:fldChar w:fldCharType="end"/>
          </w:r>
          <w:r w:rsidR="002D50C7">
            <w:rPr>
              <w:i/>
              <w:sz w:val="20"/>
              <w:szCs w:val="22"/>
              <w:lang w:bidi="vi-VN"/>
            </w:rPr>
            <w:t xml:space="preserve"> </w:t>
          </w:r>
          <w:r w:rsidR="00D9466F" w:rsidRPr="00D9466F">
            <w:rPr>
              <w:i/>
              <w:sz w:val="20"/>
              <w:szCs w:val="22"/>
              <w:lang w:bidi="vi-VN"/>
            </w:rPr>
            <w:t xml:space="preserve">of </w:t>
          </w:r>
          <w:r w:rsidR="00D9466F" w:rsidRPr="00D9466F">
            <w:rPr>
              <w:i/>
              <w:sz w:val="20"/>
              <w:szCs w:val="22"/>
              <w:lang w:val="vi-VN" w:bidi="vi-VN"/>
            </w:rPr>
            <w:fldChar w:fldCharType="begin"/>
          </w:r>
          <w:r w:rsidR="00D9466F" w:rsidRPr="00D9466F">
            <w:rPr>
              <w:i/>
              <w:sz w:val="20"/>
              <w:szCs w:val="22"/>
              <w:lang w:val="vi-VN" w:bidi="vi-VN"/>
            </w:rPr>
            <w:instrText xml:space="preserve"> NUMPAGES  \* Arabic  \* MERGEFORMAT </w:instrText>
          </w:r>
          <w:r w:rsidR="00D9466F" w:rsidRPr="00D9466F">
            <w:rPr>
              <w:i/>
              <w:sz w:val="20"/>
              <w:szCs w:val="22"/>
              <w:lang w:val="vi-VN" w:bidi="vi-VN"/>
            </w:rPr>
            <w:fldChar w:fldCharType="separate"/>
          </w:r>
          <w:r w:rsidR="00F73B24">
            <w:rPr>
              <w:i/>
              <w:noProof/>
              <w:sz w:val="20"/>
              <w:szCs w:val="22"/>
              <w:lang w:val="vi-VN" w:bidi="vi-VN"/>
            </w:rPr>
            <w:t>21</w:t>
          </w:r>
          <w:r w:rsidR="00D9466F" w:rsidRPr="00D9466F">
            <w:rPr>
              <w:i/>
              <w:sz w:val="20"/>
              <w:szCs w:val="22"/>
              <w:lang w:val="vi-VN" w:bidi="vi-VN"/>
            </w:rPr>
            <w:fldChar w:fldCharType="end"/>
          </w:r>
        </w:p>
      </w:tc>
    </w:tr>
  </w:tbl>
  <w:p w14:paraId="03B985F4" w14:textId="77777777" w:rsidR="00AC46A6" w:rsidRPr="005F1901" w:rsidRDefault="00AC46A6" w:rsidP="00DB49D8">
    <w:pPr>
      <w:pStyle w:val="NoSpacing"/>
      <w:rPr>
        <w:i/>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505E"/>
    <w:multiLevelType w:val="multilevel"/>
    <w:tmpl w:val="23C0E5FE"/>
    <w:lvl w:ilvl="0">
      <w:start w:val="8"/>
      <w:numFmt w:val="decimal"/>
      <w:lvlText w:val="%1"/>
      <w:lvlJc w:val="left"/>
      <w:pPr>
        <w:ind w:left="360" w:hanging="360"/>
      </w:pPr>
      <w:rPr>
        <w:rFonts w:hint="default"/>
        <w:i w:val="0"/>
      </w:rPr>
    </w:lvl>
    <w:lvl w:ilvl="1">
      <w:start w:val="6"/>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
    <w:nsid w:val="0F84614B"/>
    <w:multiLevelType w:val="multilevel"/>
    <w:tmpl w:val="92D8FFB2"/>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02879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0E66BD"/>
    <w:multiLevelType w:val="multilevel"/>
    <w:tmpl w:val="FADA3CB0"/>
    <w:lvl w:ilvl="0">
      <w:start w:val="1"/>
      <w:numFmt w:val="decimal"/>
      <w:pStyle w:val="Heading1"/>
      <w:lvlText w:val="%1.0"/>
      <w:lvlJc w:val="left"/>
      <w:pPr>
        <w:tabs>
          <w:tab w:val="num" w:pos="720"/>
        </w:tabs>
        <w:ind w:left="720" w:hanging="720"/>
      </w:pPr>
      <w:rPr>
        <w:rFonts w:hint="default"/>
        <w:b/>
        <w:i/>
      </w:rPr>
    </w:lvl>
    <w:lvl w:ilvl="1">
      <w:start w:val="1"/>
      <w:numFmt w:val="decimal"/>
      <w:pStyle w:val="Heading2"/>
      <w:lvlText w:val="%1.%2"/>
      <w:lvlJc w:val="left"/>
      <w:pPr>
        <w:tabs>
          <w:tab w:val="num" w:pos="2160"/>
        </w:tabs>
        <w:ind w:left="2160" w:hanging="720"/>
      </w:pPr>
      <w:rPr>
        <w:rFonts w:hint="default"/>
        <w:b w:val="0"/>
        <w:i/>
      </w:rPr>
    </w:lvl>
    <w:lvl w:ilvl="2">
      <w:start w:val="1"/>
      <w:numFmt w:val="decimal"/>
      <w:pStyle w:val="Heading3"/>
      <w:lvlText w:val="%1.%2.%3."/>
      <w:lvlJc w:val="left"/>
      <w:pPr>
        <w:tabs>
          <w:tab w:val="num" w:pos="3024"/>
        </w:tabs>
        <w:ind w:left="3024" w:hanging="864"/>
      </w:pPr>
      <w:rPr>
        <w:rFonts w:hint="default"/>
      </w:rPr>
    </w:lvl>
    <w:lvl w:ilvl="3">
      <w:start w:val="1"/>
      <w:numFmt w:val="lowerLetter"/>
      <w:pStyle w:val="ListParagraph"/>
      <w:lvlText w:val="%4."/>
      <w:lvlJc w:val="left"/>
      <w:pPr>
        <w:tabs>
          <w:tab w:val="num" w:pos="3744"/>
        </w:tabs>
        <w:ind w:left="3744" w:hanging="720"/>
      </w:pPr>
      <w:rPr>
        <w:rFonts w:hint="default"/>
      </w:rPr>
    </w:lvl>
    <w:lvl w:ilvl="4">
      <w:start w:val="1"/>
      <w:numFmt w:val="bullet"/>
      <w:pStyle w:val="ListParagraph2"/>
      <w:lvlText w:val="●"/>
      <w:lvlJc w:val="left"/>
      <w:pPr>
        <w:tabs>
          <w:tab w:val="num" w:pos="4464"/>
        </w:tabs>
        <w:ind w:left="4464" w:hanging="360"/>
      </w:pPr>
      <w:rPr>
        <w:rFonts w:ascii="Arial" w:hAnsi="Arial" w:cs="Arial" w:hint="default"/>
        <w:color w:val="auto"/>
      </w:rPr>
    </w:lvl>
    <w:lvl w:ilvl="5">
      <w:start w:val="1"/>
      <w:numFmt w:val="none"/>
      <w:lvlText w:val=""/>
      <w:lvlJc w:val="left"/>
      <w:pPr>
        <w:tabs>
          <w:tab w:val="num" w:pos="5040"/>
        </w:tabs>
        <w:ind w:left="5040" w:firstLine="0"/>
      </w:pPr>
      <w:rPr>
        <w:rFonts w:hint="default"/>
      </w:rPr>
    </w:lvl>
    <w:lvl w:ilvl="6">
      <w:start w:val="1"/>
      <w:numFmt w:val="none"/>
      <w:lvlText w:val=""/>
      <w:lvlJc w:val="left"/>
      <w:pPr>
        <w:tabs>
          <w:tab w:val="num" w:pos="5040"/>
        </w:tabs>
        <w:ind w:left="5040" w:firstLine="0"/>
      </w:pPr>
      <w:rPr>
        <w:rFonts w:hint="default"/>
      </w:rPr>
    </w:lvl>
    <w:lvl w:ilvl="7">
      <w:start w:val="1"/>
      <w:numFmt w:val="none"/>
      <w:lvlText w:val=""/>
      <w:lvlJc w:val="left"/>
      <w:pPr>
        <w:tabs>
          <w:tab w:val="num" w:pos="5040"/>
        </w:tabs>
        <w:ind w:left="5040" w:firstLine="0"/>
      </w:pPr>
      <w:rPr>
        <w:rFonts w:hint="default"/>
      </w:rPr>
    </w:lvl>
    <w:lvl w:ilvl="8">
      <w:start w:val="1"/>
      <w:numFmt w:val="none"/>
      <w:lvlText w:val=""/>
      <w:lvlJc w:val="left"/>
      <w:pPr>
        <w:ind w:left="5040" w:firstLine="0"/>
      </w:pPr>
      <w:rPr>
        <w:rFonts w:hint="default"/>
      </w:rPr>
    </w:lvl>
  </w:abstractNum>
  <w:abstractNum w:abstractNumId="4">
    <w:nsid w:val="172A4C3B"/>
    <w:multiLevelType w:val="multilevel"/>
    <w:tmpl w:val="D9A069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8081E50"/>
    <w:multiLevelType w:val="hybridMultilevel"/>
    <w:tmpl w:val="1CEE4010"/>
    <w:lvl w:ilvl="0" w:tplc="647E9268">
      <w:start w:val="1"/>
      <w:numFmt w:val="bullet"/>
      <w:lvlText w:val=""/>
      <w:lvlJc w:val="left"/>
      <w:pPr>
        <w:ind w:left="3600" w:hanging="360"/>
      </w:pPr>
      <w:rPr>
        <w:rFonts w:ascii="Symbol" w:hAnsi="Symbol" w:hint="default"/>
      </w:rPr>
    </w:lvl>
    <w:lvl w:ilvl="1" w:tplc="38C08616" w:tentative="1">
      <w:start w:val="1"/>
      <w:numFmt w:val="bullet"/>
      <w:lvlText w:val="o"/>
      <w:lvlJc w:val="left"/>
      <w:pPr>
        <w:ind w:left="4320" w:hanging="360"/>
      </w:pPr>
      <w:rPr>
        <w:rFonts w:ascii="Courier New" w:hAnsi="Courier New" w:cs="Courier New" w:hint="default"/>
      </w:rPr>
    </w:lvl>
    <w:lvl w:ilvl="2" w:tplc="7DBAE594" w:tentative="1">
      <w:start w:val="1"/>
      <w:numFmt w:val="bullet"/>
      <w:lvlText w:val=""/>
      <w:lvlJc w:val="left"/>
      <w:pPr>
        <w:ind w:left="5040" w:hanging="360"/>
      </w:pPr>
      <w:rPr>
        <w:rFonts w:ascii="Wingdings" w:hAnsi="Wingdings" w:hint="default"/>
      </w:rPr>
    </w:lvl>
    <w:lvl w:ilvl="3" w:tplc="217049AE" w:tentative="1">
      <w:start w:val="1"/>
      <w:numFmt w:val="bullet"/>
      <w:lvlText w:val=""/>
      <w:lvlJc w:val="left"/>
      <w:pPr>
        <w:ind w:left="5760" w:hanging="360"/>
      </w:pPr>
      <w:rPr>
        <w:rFonts w:ascii="Symbol" w:hAnsi="Symbol" w:hint="default"/>
      </w:rPr>
    </w:lvl>
    <w:lvl w:ilvl="4" w:tplc="F6C0CF36" w:tentative="1">
      <w:start w:val="1"/>
      <w:numFmt w:val="bullet"/>
      <w:lvlText w:val="o"/>
      <w:lvlJc w:val="left"/>
      <w:pPr>
        <w:ind w:left="6480" w:hanging="360"/>
      </w:pPr>
      <w:rPr>
        <w:rFonts w:ascii="Courier New" w:hAnsi="Courier New" w:cs="Courier New" w:hint="default"/>
      </w:rPr>
    </w:lvl>
    <w:lvl w:ilvl="5" w:tplc="C19E4D54" w:tentative="1">
      <w:start w:val="1"/>
      <w:numFmt w:val="bullet"/>
      <w:lvlText w:val=""/>
      <w:lvlJc w:val="left"/>
      <w:pPr>
        <w:ind w:left="7200" w:hanging="360"/>
      </w:pPr>
      <w:rPr>
        <w:rFonts w:ascii="Wingdings" w:hAnsi="Wingdings" w:hint="default"/>
      </w:rPr>
    </w:lvl>
    <w:lvl w:ilvl="6" w:tplc="28B05D0A" w:tentative="1">
      <w:start w:val="1"/>
      <w:numFmt w:val="bullet"/>
      <w:lvlText w:val=""/>
      <w:lvlJc w:val="left"/>
      <w:pPr>
        <w:ind w:left="7920" w:hanging="360"/>
      </w:pPr>
      <w:rPr>
        <w:rFonts w:ascii="Symbol" w:hAnsi="Symbol" w:hint="default"/>
      </w:rPr>
    </w:lvl>
    <w:lvl w:ilvl="7" w:tplc="BFDCF852" w:tentative="1">
      <w:start w:val="1"/>
      <w:numFmt w:val="bullet"/>
      <w:lvlText w:val="o"/>
      <w:lvlJc w:val="left"/>
      <w:pPr>
        <w:ind w:left="8640" w:hanging="360"/>
      </w:pPr>
      <w:rPr>
        <w:rFonts w:ascii="Courier New" w:hAnsi="Courier New" w:cs="Courier New" w:hint="default"/>
      </w:rPr>
    </w:lvl>
    <w:lvl w:ilvl="8" w:tplc="EF80C9E2" w:tentative="1">
      <w:start w:val="1"/>
      <w:numFmt w:val="bullet"/>
      <w:lvlText w:val=""/>
      <w:lvlJc w:val="left"/>
      <w:pPr>
        <w:ind w:left="9360" w:hanging="360"/>
      </w:pPr>
      <w:rPr>
        <w:rFonts w:ascii="Wingdings" w:hAnsi="Wingdings" w:hint="default"/>
      </w:rPr>
    </w:lvl>
  </w:abstractNum>
  <w:abstractNum w:abstractNumId="6">
    <w:nsid w:val="18832060"/>
    <w:multiLevelType w:val="multilevel"/>
    <w:tmpl w:val="E7E269C4"/>
    <w:lvl w:ilvl="0">
      <w:start w:val="8"/>
      <w:numFmt w:val="decimal"/>
      <w:lvlText w:val="%1"/>
      <w:lvlJc w:val="left"/>
      <w:pPr>
        <w:ind w:left="360" w:hanging="360"/>
      </w:pPr>
      <w:rPr>
        <w:rFonts w:hint="default"/>
        <w:i w:val="0"/>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3960" w:hanging="72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480" w:hanging="108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000" w:hanging="1440"/>
      </w:pPr>
      <w:rPr>
        <w:rFonts w:hint="default"/>
        <w:i w:val="0"/>
      </w:rPr>
    </w:lvl>
    <w:lvl w:ilvl="8">
      <w:start w:val="1"/>
      <w:numFmt w:val="decimal"/>
      <w:lvlText w:val="%1.%2.%3.%4.%5.%6.%7.%8.%9"/>
      <w:lvlJc w:val="left"/>
      <w:pPr>
        <w:ind w:left="10440" w:hanging="1800"/>
      </w:pPr>
      <w:rPr>
        <w:rFonts w:hint="default"/>
        <w:i w:val="0"/>
      </w:rPr>
    </w:lvl>
  </w:abstractNum>
  <w:abstractNum w:abstractNumId="7">
    <w:nsid w:val="194D66B0"/>
    <w:multiLevelType w:val="hybridMultilevel"/>
    <w:tmpl w:val="8A26744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1DE215DE"/>
    <w:multiLevelType w:val="hybridMultilevel"/>
    <w:tmpl w:val="079EABD8"/>
    <w:lvl w:ilvl="0" w:tplc="3B14EE5C">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46A32"/>
    <w:multiLevelType w:val="multilevel"/>
    <w:tmpl w:val="DBA874D4"/>
    <w:lvl w:ilvl="0">
      <w:start w:val="6"/>
      <w:numFmt w:val="decimal"/>
      <w:lvlText w:val="%1.0"/>
      <w:lvlJc w:val="left"/>
      <w:pPr>
        <w:ind w:left="1080" w:hanging="360"/>
      </w:pPr>
      <w:rPr>
        <w:rFonts w:hint="default"/>
        <w:i/>
      </w:rPr>
    </w:lvl>
    <w:lvl w:ilvl="1">
      <w:start w:val="3"/>
      <w:numFmt w:val="decimal"/>
      <w:lvlText w:val="%1.%2"/>
      <w:lvlJc w:val="left"/>
      <w:pPr>
        <w:ind w:left="1260" w:hanging="360"/>
      </w:pPr>
      <w:rPr>
        <w:rFonts w:hint="default"/>
        <w:i/>
      </w:rPr>
    </w:lvl>
    <w:lvl w:ilvl="2">
      <w:start w:val="1"/>
      <w:numFmt w:val="decimal"/>
      <w:lvlText w:val="%1.%2.%3"/>
      <w:lvlJc w:val="left"/>
      <w:pPr>
        <w:ind w:left="2160" w:hanging="720"/>
      </w:pPr>
      <w:rPr>
        <w:rFonts w:hint="default"/>
        <w:i/>
      </w:rPr>
    </w:lvl>
    <w:lvl w:ilvl="3">
      <w:start w:val="1"/>
      <w:numFmt w:val="lowerLetter"/>
      <w:lvlText w:val="%4."/>
      <w:lvlJc w:val="left"/>
      <w:pPr>
        <w:ind w:left="351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0">
    <w:nsid w:val="26F968D7"/>
    <w:multiLevelType w:val="multilevel"/>
    <w:tmpl w:val="2910BBF6"/>
    <w:lvl w:ilvl="0">
      <w:start w:val="2"/>
      <w:numFmt w:val="decimal"/>
      <w:lvlText w:val="%1.0"/>
      <w:lvlJc w:val="left"/>
      <w:pPr>
        <w:ind w:left="630" w:hanging="360"/>
      </w:pPr>
      <w:rPr>
        <w:rFonts w:hint="default"/>
        <w:i/>
      </w:rPr>
    </w:lvl>
    <w:lvl w:ilvl="1">
      <w:start w:val="1"/>
      <w:numFmt w:val="decimal"/>
      <w:lvlText w:val="%1.%2"/>
      <w:lvlJc w:val="left"/>
      <w:pPr>
        <w:ind w:left="810" w:hanging="360"/>
      </w:pPr>
      <w:rPr>
        <w:rFonts w:hint="default"/>
        <w:i/>
      </w:rPr>
    </w:lvl>
    <w:lvl w:ilvl="2">
      <w:start w:val="1"/>
      <w:numFmt w:val="decimal"/>
      <w:lvlText w:val="%1.%2.%3"/>
      <w:lvlJc w:val="left"/>
      <w:pPr>
        <w:ind w:left="2430" w:hanging="720"/>
      </w:pPr>
      <w:rPr>
        <w:rFonts w:hint="default"/>
        <w:i/>
      </w:rPr>
    </w:lvl>
    <w:lvl w:ilvl="3">
      <w:start w:val="1"/>
      <w:numFmt w:val="lowerLetter"/>
      <w:lvlText w:val="%4."/>
      <w:lvlJc w:val="left"/>
      <w:pPr>
        <w:ind w:left="3060" w:hanging="720"/>
      </w:pPr>
      <w:rPr>
        <w:rFonts w:hint="default"/>
      </w:rPr>
    </w:lvl>
    <w:lvl w:ilvl="4">
      <w:start w:val="1"/>
      <w:numFmt w:val="decimal"/>
      <w:lvlText w:val="%1.%2.%3.%4.%5"/>
      <w:lvlJc w:val="left"/>
      <w:pPr>
        <w:ind w:left="4230"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50" w:hanging="1440"/>
      </w:pPr>
      <w:rPr>
        <w:rFonts w:hint="default"/>
      </w:rPr>
    </w:lvl>
    <w:lvl w:ilvl="8">
      <w:start w:val="1"/>
      <w:numFmt w:val="decimal"/>
      <w:lvlText w:val="%1.%2.%3.%4.%5.%6.%7.%8.%9"/>
      <w:lvlJc w:val="left"/>
      <w:pPr>
        <w:ind w:left="7830" w:hanging="1800"/>
      </w:pPr>
      <w:rPr>
        <w:rFonts w:hint="default"/>
      </w:rPr>
    </w:lvl>
  </w:abstractNum>
  <w:abstractNum w:abstractNumId="11">
    <w:nsid w:val="27B91D95"/>
    <w:multiLevelType w:val="hybridMultilevel"/>
    <w:tmpl w:val="CB5E59EC"/>
    <w:lvl w:ilvl="0" w:tplc="2076B220">
      <w:start w:val="1"/>
      <w:numFmt w:val="decimal"/>
      <w:pStyle w:val="ListParagraph3"/>
      <w:lvlText w:val="A-%1.0"/>
      <w:lvlJc w:val="left"/>
      <w:pPr>
        <w:tabs>
          <w:tab w:val="num" w:pos="907"/>
        </w:tabs>
        <w:ind w:left="900" w:hanging="900"/>
      </w:pPr>
      <w:rPr>
        <w:rFonts w:hint="default"/>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31C4E"/>
    <w:multiLevelType w:val="multilevel"/>
    <w:tmpl w:val="1386777E"/>
    <w:lvl w:ilvl="0">
      <w:start w:val="8"/>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nsid w:val="2C131025"/>
    <w:multiLevelType w:val="hybridMultilevel"/>
    <w:tmpl w:val="3342FA72"/>
    <w:lvl w:ilvl="0" w:tplc="C75477DA">
      <w:start w:val="1"/>
      <w:numFmt w:val="bullet"/>
      <w:lvlText w:val=""/>
      <w:lvlJc w:val="left"/>
      <w:pPr>
        <w:ind w:left="2160" w:hanging="360"/>
      </w:pPr>
      <w:rPr>
        <w:rFonts w:ascii="Symbol" w:hAnsi="Symbol" w:hint="default"/>
      </w:rPr>
    </w:lvl>
    <w:lvl w:ilvl="1" w:tplc="6FBAD60A" w:tentative="1">
      <w:start w:val="1"/>
      <w:numFmt w:val="bullet"/>
      <w:lvlText w:val="o"/>
      <w:lvlJc w:val="left"/>
      <w:pPr>
        <w:ind w:left="2880" w:hanging="360"/>
      </w:pPr>
      <w:rPr>
        <w:rFonts w:ascii="Courier New" w:hAnsi="Courier New" w:cs="Courier New" w:hint="default"/>
      </w:rPr>
    </w:lvl>
    <w:lvl w:ilvl="2" w:tplc="DD1AC70C" w:tentative="1">
      <w:start w:val="1"/>
      <w:numFmt w:val="bullet"/>
      <w:lvlText w:val=""/>
      <w:lvlJc w:val="left"/>
      <w:pPr>
        <w:ind w:left="3600" w:hanging="360"/>
      </w:pPr>
      <w:rPr>
        <w:rFonts w:ascii="Wingdings" w:hAnsi="Wingdings" w:hint="default"/>
      </w:rPr>
    </w:lvl>
    <w:lvl w:ilvl="3" w:tplc="D57C8888" w:tentative="1">
      <w:start w:val="1"/>
      <w:numFmt w:val="bullet"/>
      <w:lvlText w:val=""/>
      <w:lvlJc w:val="left"/>
      <w:pPr>
        <w:ind w:left="4320" w:hanging="360"/>
      </w:pPr>
      <w:rPr>
        <w:rFonts w:ascii="Symbol" w:hAnsi="Symbol" w:hint="default"/>
      </w:rPr>
    </w:lvl>
    <w:lvl w:ilvl="4" w:tplc="37867284" w:tentative="1">
      <w:start w:val="1"/>
      <w:numFmt w:val="bullet"/>
      <w:lvlText w:val="o"/>
      <w:lvlJc w:val="left"/>
      <w:pPr>
        <w:ind w:left="5040" w:hanging="360"/>
      </w:pPr>
      <w:rPr>
        <w:rFonts w:ascii="Courier New" w:hAnsi="Courier New" w:cs="Courier New" w:hint="default"/>
      </w:rPr>
    </w:lvl>
    <w:lvl w:ilvl="5" w:tplc="8C1EC120" w:tentative="1">
      <w:start w:val="1"/>
      <w:numFmt w:val="bullet"/>
      <w:lvlText w:val=""/>
      <w:lvlJc w:val="left"/>
      <w:pPr>
        <w:ind w:left="5760" w:hanging="360"/>
      </w:pPr>
      <w:rPr>
        <w:rFonts w:ascii="Wingdings" w:hAnsi="Wingdings" w:hint="default"/>
      </w:rPr>
    </w:lvl>
    <w:lvl w:ilvl="6" w:tplc="85348F78" w:tentative="1">
      <w:start w:val="1"/>
      <w:numFmt w:val="bullet"/>
      <w:lvlText w:val=""/>
      <w:lvlJc w:val="left"/>
      <w:pPr>
        <w:ind w:left="6480" w:hanging="360"/>
      </w:pPr>
      <w:rPr>
        <w:rFonts w:ascii="Symbol" w:hAnsi="Symbol" w:hint="default"/>
      </w:rPr>
    </w:lvl>
    <w:lvl w:ilvl="7" w:tplc="79066FEC" w:tentative="1">
      <w:start w:val="1"/>
      <w:numFmt w:val="bullet"/>
      <w:lvlText w:val="o"/>
      <w:lvlJc w:val="left"/>
      <w:pPr>
        <w:ind w:left="7200" w:hanging="360"/>
      </w:pPr>
      <w:rPr>
        <w:rFonts w:ascii="Courier New" w:hAnsi="Courier New" w:cs="Courier New" w:hint="default"/>
      </w:rPr>
    </w:lvl>
    <w:lvl w:ilvl="8" w:tplc="14209356" w:tentative="1">
      <w:start w:val="1"/>
      <w:numFmt w:val="bullet"/>
      <w:lvlText w:val=""/>
      <w:lvlJc w:val="left"/>
      <w:pPr>
        <w:ind w:left="7920" w:hanging="360"/>
      </w:pPr>
      <w:rPr>
        <w:rFonts w:ascii="Wingdings" w:hAnsi="Wingdings" w:hint="default"/>
      </w:rPr>
    </w:lvl>
  </w:abstractNum>
  <w:abstractNum w:abstractNumId="14">
    <w:nsid w:val="2E467C13"/>
    <w:multiLevelType w:val="hybridMultilevel"/>
    <w:tmpl w:val="6980D9C6"/>
    <w:lvl w:ilvl="0" w:tplc="10ACF978">
      <w:start w:val="1"/>
      <w:numFmt w:val="bullet"/>
      <w:lvlText w:val=""/>
      <w:lvlJc w:val="left"/>
      <w:pPr>
        <w:ind w:left="3600" w:hanging="360"/>
      </w:pPr>
      <w:rPr>
        <w:rFonts w:ascii="Symbol" w:hAnsi="Symbol" w:hint="default"/>
      </w:rPr>
    </w:lvl>
    <w:lvl w:ilvl="1" w:tplc="0AC6B564" w:tentative="1">
      <w:start w:val="1"/>
      <w:numFmt w:val="bullet"/>
      <w:lvlText w:val="o"/>
      <w:lvlJc w:val="left"/>
      <w:pPr>
        <w:ind w:left="4320" w:hanging="360"/>
      </w:pPr>
      <w:rPr>
        <w:rFonts w:ascii="Courier New" w:hAnsi="Courier New" w:cs="Courier New" w:hint="default"/>
      </w:rPr>
    </w:lvl>
    <w:lvl w:ilvl="2" w:tplc="2D2E8518" w:tentative="1">
      <w:start w:val="1"/>
      <w:numFmt w:val="bullet"/>
      <w:lvlText w:val=""/>
      <w:lvlJc w:val="left"/>
      <w:pPr>
        <w:ind w:left="5040" w:hanging="360"/>
      </w:pPr>
      <w:rPr>
        <w:rFonts w:ascii="Wingdings" w:hAnsi="Wingdings" w:hint="default"/>
      </w:rPr>
    </w:lvl>
    <w:lvl w:ilvl="3" w:tplc="6FBAD51C" w:tentative="1">
      <w:start w:val="1"/>
      <w:numFmt w:val="bullet"/>
      <w:lvlText w:val=""/>
      <w:lvlJc w:val="left"/>
      <w:pPr>
        <w:ind w:left="5760" w:hanging="360"/>
      </w:pPr>
      <w:rPr>
        <w:rFonts w:ascii="Symbol" w:hAnsi="Symbol" w:hint="default"/>
      </w:rPr>
    </w:lvl>
    <w:lvl w:ilvl="4" w:tplc="54C45F1A" w:tentative="1">
      <w:start w:val="1"/>
      <w:numFmt w:val="bullet"/>
      <w:lvlText w:val="o"/>
      <w:lvlJc w:val="left"/>
      <w:pPr>
        <w:ind w:left="6480" w:hanging="360"/>
      </w:pPr>
      <w:rPr>
        <w:rFonts w:ascii="Courier New" w:hAnsi="Courier New" w:cs="Courier New" w:hint="default"/>
      </w:rPr>
    </w:lvl>
    <w:lvl w:ilvl="5" w:tplc="00145242" w:tentative="1">
      <w:start w:val="1"/>
      <w:numFmt w:val="bullet"/>
      <w:lvlText w:val=""/>
      <w:lvlJc w:val="left"/>
      <w:pPr>
        <w:ind w:left="7200" w:hanging="360"/>
      </w:pPr>
      <w:rPr>
        <w:rFonts w:ascii="Wingdings" w:hAnsi="Wingdings" w:hint="default"/>
      </w:rPr>
    </w:lvl>
    <w:lvl w:ilvl="6" w:tplc="44EC6AA2" w:tentative="1">
      <w:start w:val="1"/>
      <w:numFmt w:val="bullet"/>
      <w:lvlText w:val=""/>
      <w:lvlJc w:val="left"/>
      <w:pPr>
        <w:ind w:left="7920" w:hanging="360"/>
      </w:pPr>
      <w:rPr>
        <w:rFonts w:ascii="Symbol" w:hAnsi="Symbol" w:hint="default"/>
      </w:rPr>
    </w:lvl>
    <w:lvl w:ilvl="7" w:tplc="3DE4A5D8" w:tentative="1">
      <w:start w:val="1"/>
      <w:numFmt w:val="bullet"/>
      <w:lvlText w:val="o"/>
      <w:lvlJc w:val="left"/>
      <w:pPr>
        <w:ind w:left="8640" w:hanging="360"/>
      </w:pPr>
      <w:rPr>
        <w:rFonts w:ascii="Courier New" w:hAnsi="Courier New" w:cs="Courier New" w:hint="default"/>
      </w:rPr>
    </w:lvl>
    <w:lvl w:ilvl="8" w:tplc="BE762C50" w:tentative="1">
      <w:start w:val="1"/>
      <w:numFmt w:val="bullet"/>
      <w:lvlText w:val=""/>
      <w:lvlJc w:val="left"/>
      <w:pPr>
        <w:ind w:left="9360" w:hanging="360"/>
      </w:pPr>
      <w:rPr>
        <w:rFonts w:ascii="Wingdings" w:hAnsi="Wingdings" w:hint="default"/>
      </w:rPr>
    </w:lvl>
  </w:abstractNum>
  <w:abstractNum w:abstractNumId="15">
    <w:nsid w:val="33091DA4"/>
    <w:multiLevelType w:val="multilevel"/>
    <w:tmpl w:val="D9A069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39E7B2C"/>
    <w:multiLevelType w:val="hybridMultilevel"/>
    <w:tmpl w:val="135068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4C76C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DD23A2"/>
    <w:multiLevelType w:val="multilevel"/>
    <w:tmpl w:val="2910BBF6"/>
    <w:styleLink w:val="Style1"/>
    <w:lvl w:ilvl="0">
      <w:start w:val="6"/>
      <w:numFmt w:val="decimal"/>
      <w:lvlText w:val="%1.0"/>
      <w:lvlJc w:val="left"/>
      <w:pPr>
        <w:ind w:left="1080" w:hanging="360"/>
      </w:pPr>
      <w:rPr>
        <w:rFonts w:hint="default"/>
        <w:i/>
      </w:rPr>
    </w:lvl>
    <w:lvl w:ilvl="1">
      <w:start w:val="1"/>
      <w:numFmt w:val="decimal"/>
      <w:lvlText w:val="%1.%2"/>
      <w:lvlJc w:val="left"/>
      <w:pPr>
        <w:ind w:left="1260" w:hanging="360"/>
      </w:pPr>
      <w:rPr>
        <w:rFonts w:hint="default"/>
        <w:i/>
      </w:rPr>
    </w:lvl>
    <w:lvl w:ilvl="2">
      <w:start w:val="1"/>
      <w:numFmt w:val="decimal"/>
      <w:lvlText w:val="%1.%2.%3"/>
      <w:lvlJc w:val="left"/>
      <w:pPr>
        <w:ind w:left="2340" w:hanging="720"/>
      </w:pPr>
      <w:rPr>
        <w:rFonts w:hint="default"/>
        <w:i/>
      </w:rPr>
    </w:lvl>
    <w:lvl w:ilvl="3">
      <w:start w:val="1"/>
      <w:numFmt w:val="lowerLetter"/>
      <w:lvlText w:val="%4."/>
      <w:lvlJc w:val="left"/>
      <w:pPr>
        <w:ind w:left="351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9">
    <w:nsid w:val="40D908E5"/>
    <w:multiLevelType w:val="hybridMultilevel"/>
    <w:tmpl w:val="945AA73C"/>
    <w:lvl w:ilvl="0" w:tplc="A2C03DA8">
      <w:start w:val="1"/>
      <w:numFmt w:val="bullet"/>
      <w:lvlText w:val=""/>
      <w:lvlJc w:val="left"/>
      <w:pPr>
        <w:ind w:left="3600" w:hanging="360"/>
      </w:pPr>
      <w:rPr>
        <w:rFonts w:ascii="Symbol" w:hAnsi="Symbol" w:hint="default"/>
      </w:rPr>
    </w:lvl>
    <w:lvl w:ilvl="1" w:tplc="BAE696CE" w:tentative="1">
      <w:start w:val="1"/>
      <w:numFmt w:val="bullet"/>
      <w:lvlText w:val="o"/>
      <w:lvlJc w:val="left"/>
      <w:pPr>
        <w:ind w:left="4320" w:hanging="360"/>
      </w:pPr>
      <w:rPr>
        <w:rFonts w:ascii="Courier New" w:hAnsi="Courier New" w:cs="Courier New" w:hint="default"/>
      </w:rPr>
    </w:lvl>
    <w:lvl w:ilvl="2" w:tplc="D3B6872C" w:tentative="1">
      <w:start w:val="1"/>
      <w:numFmt w:val="bullet"/>
      <w:lvlText w:val=""/>
      <w:lvlJc w:val="left"/>
      <w:pPr>
        <w:ind w:left="5040" w:hanging="360"/>
      </w:pPr>
      <w:rPr>
        <w:rFonts w:ascii="Wingdings" w:hAnsi="Wingdings" w:hint="default"/>
      </w:rPr>
    </w:lvl>
    <w:lvl w:ilvl="3" w:tplc="1D24767A" w:tentative="1">
      <w:start w:val="1"/>
      <w:numFmt w:val="bullet"/>
      <w:lvlText w:val=""/>
      <w:lvlJc w:val="left"/>
      <w:pPr>
        <w:ind w:left="5760" w:hanging="360"/>
      </w:pPr>
      <w:rPr>
        <w:rFonts w:ascii="Symbol" w:hAnsi="Symbol" w:hint="default"/>
      </w:rPr>
    </w:lvl>
    <w:lvl w:ilvl="4" w:tplc="B20E5376" w:tentative="1">
      <w:start w:val="1"/>
      <w:numFmt w:val="bullet"/>
      <w:lvlText w:val="o"/>
      <w:lvlJc w:val="left"/>
      <w:pPr>
        <w:ind w:left="6480" w:hanging="360"/>
      </w:pPr>
      <w:rPr>
        <w:rFonts w:ascii="Courier New" w:hAnsi="Courier New" w:cs="Courier New" w:hint="default"/>
      </w:rPr>
    </w:lvl>
    <w:lvl w:ilvl="5" w:tplc="67D48FF6" w:tentative="1">
      <w:start w:val="1"/>
      <w:numFmt w:val="bullet"/>
      <w:lvlText w:val=""/>
      <w:lvlJc w:val="left"/>
      <w:pPr>
        <w:ind w:left="7200" w:hanging="360"/>
      </w:pPr>
      <w:rPr>
        <w:rFonts w:ascii="Wingdings" w:hAnsi="Wingdings" w:hint="default"/>
      </w:rPr>
    </w:lvl>
    <w:lvl w:ilvl="6" w:tplc="734A7C3C" w:tentative="1">
      <w:start w:val="1"/>
      <w:numFmt w:val="bullet"/>
      <w:lvlText w:val=""/>
      <w:lvlJc w:val="left"/>
      <w:pPr>
        <w:ind w:left="7920" w:hanging="360"/>
      </w:pPr>
      <w:rPr>
        <w:rFonts w:ascii="Symbol" w:hAnsi="Symbol" w:hint="default"/>
      </w:rPr>
    </w:lvl>
    <w:lvl w:ilvl="7" w:tplc="7024A8DA" w:tentative="1">
      <w:start w:val="1"/>
      <w:numFmt w:val="bullet"/>
      <w:lvlText w:val="o"/>
      <w:lvlJc w:val="left"/>
      <w:pPr>
        <w:ind w:left="8640" w:hanging="360"/>
      </w:pPr>
      <w:rPr>
        <w:rFonts w:ascii="Courier New" w:hAnsi="Courier New" w:cs="Courier New" w:hint="default"/>
      </w:rPr>
    </w:lvl>
    <w:lvl w:ilvl="8" w:tplc="34D4FA56" w:tentative="1">
      <w:start w:val="1"/>
      <w:numFmt w:val="bullet"/>
      <w:lvlText w:val=""/>
      <w:lvlJc w:val="left"/>
      <w:pPr>
        <w:ind w:left="9360" w:hanging="360"/>
      </w:pPr>
      <w:rPr>
        <w:rFonts w:ascii="Wingdings" w:hAnsi="Wingdings" w:hint="default"/>
      </w:rPr>
    </w:lvl>
  </w:abstractNum>
  <w:abstractNum w:abstractNumId="20">
    <w:nsid w:val="416746BE"/>
    <w:multiLevelType w:val="multilevel"/>
    <w:tmpl w:val="48041F44"/>
    <w:lvl w:ilvl="0">
      <w:start w:val="8"/>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1">
    <w:nsid w:val="41F46C89"/>
    <w:multiLevelType w:val="multilevel"/>
    <w:tmpl w:val="2910BBF6"/>
    <w:lvl w:ilvl="0">
      <w:start w:val="2"/>
      <w:numFmt w:val="decimal"/>
      <w:lvlText w:val="%1.0"/>
      <w:lvlJc w:val="left"/>
      <w:pPr>
        <w:ind w:left="1080" w:hanging="360"/>
      </w:pPr>
      <w:rPr>
        <w:rFonts w:hint="default"/>
        <w:i/>
      </w:rPr>
    </w:lvl>
    <w:lvl w:ilvl="1">
      <w:start w:val="1"/>
      <w:numFmt w:val="decimal"/>
      <w:lvlText w:val="%1.%2"/>
      <w:lvlJc w:val="left"/>
      <w:pPr>
        <w:ind w:left="1260" w:hanging="360"/>
      </w:pPr>
      <w:rPr>
        <w:rFonts w:hint="default"/>
        <w:i/>
      </w:rPr>
    </w:lvl>
    <w:lvl w:ilvl="2">
      <w:start w:val="1"/>
      <w:numFmt w:val="decimal"/>
      <w:lvlText w:val="%1.%2.%3"/>
      <w:lvlJc w:val="left"/>
      <w:pPr>
        <w:ind w:left="2880" w:hanging="720"/>
      </w:pPr>
      <w:rPr>
        <w:rFonts w:hint="default"/>
        <w:i/>
      </w:rPr>
    </w:lvl>
    <w:lvl w:ilvl="3">
      <w:start w:val="1"/>
      <w:numFmt w:val="lowerLetter"/>
      <w:lvlText w:val="%4."/>
      <w:lvlJc w:val="left"/>
      <w:pPr>
        <w:ind w:left="351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2">
    <w:nsid w:val="434F74F1"/>
    <w:multiLevelType w:val="multilevel"/>
    <w:tmpl w:val="436CD4C4"/>
    <w:lvl w:ilvl="0">
      <w:start w:val="8"/>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3">
    <w:nsid w:val="43C22FBB"/>
    <w:multiLevelType w:val="multilevel"/>
    <w:tmpl w:val="9322013E"/>
    <w:lvl w:ilvl="0">
      <w:start w:val="1"/>
      <w:numFmt w:val="decimal"/>
      <w:lvlText w:val="%1.0"/>
      <w:lvlJc w:val="left"/>
      <w:pPr>
        <w:ind w:left="1080" w:hanging="360"/>
      </w:pPr>
      <w:rPr>
        <w:rFonts w:hint="default"/>
        <w:i/>
      </w:rPr>
    </w:lvl>
    <w:lvl w:ilvl="1">
      <w:start w:val="1"/>
      <w:numFmt w:val="decimal"/>
      <w:lvlText w:val="%1.%2"/>
      <w:lvlJc w:val="left"/>
      <w:pPr>
        <w:ind w:left="1080" w:hanging="360"/>
      </w:pPr>
      <w:rPr>
        <w:rFonts w:hint="default"/>
        <w:i/>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4">
    <w:nsid w:val="4E5725A9"/>
    <w:multiLevelType w:val="multilevel"/>
    <w:tmpl w:val="F8C690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EF727DA"/>
    <w:multiLevelType w:val="multilevel"/>
    <w:tmpl w:val="BEC4EFDA"/>
    <w:lvl w:ilvl="0">
      <w:start w:val="1"/>
      <w:numFmt w:val="decimal"/>
      <w:lvlText w:val="%1.0"/>
      <w:lvlJc w:val="left"/>
      <w:pPr>
        <w:tabs>
          <w:tab w:val="num" w:pos="2160"/>
        </w:tabs>
        <w:ind w:left="2160" w:hanging="720"/>
      </w:pPr>
      <w:rPr>
        <w:rFonts w:hint="default"/>
        <w:b/>
        <w:i/>
      </w:rPr>
    </w:lvl>
    <w:lvl w:ilvl="1">
      <w:start w:val="1"/>
      <w:numFmt w:val="decimal"/>
      <w:lvlText w:val="%1.%2"/>
      <w:lvlJc w:val="left"/>
      <w:pPr>
        <w:tabs>
          <w:tab w:val="num" w:pos="2880"/>
        </w:tabs>
        <w:ind w:left="2880" w:hanging="720"/>
      </w:pPr>
      <w:rPr>
        <w:rFonts w:ascii="Arial" w:hAnsi="Arial" w:cs="Arial" w:hint="default"/>
        <w:b w:val="0"/>
        <w:i/>
        <w:sz w:val="22"/>
        <w:szCs w:val="22"/>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6">
    <w:nsid w:val="4FC03EBE"/>
    <w:multiLevelType w:val="multilevel"/>
    <w:tmpl w:val="6E342E44"/>
    <w:lvl w:ilvl="0">
      <w:start w:val="1"/>
      <w:numFmt w:val="decimal"/>
      <w:lvlText w:val="%1.0"/>
      <w:lvlJc w:val="left"/>
      <w:pPr>
        <w:ind w:left="900" w:hanging="900"/>
      </w:pPr>
      <w:rPr>
        <w:rFonts w:hint="default"/>
        <w:u w:val="single"/>
      </w:rPr>
    </w:lvl>
    <w:lvl w:ilvl="1">
      <w:start w:val="1"/>
      <w:numFmt w:val="decimal"/>
      <w:lvlText w:val="%1.%2"/>
      <w:lvlJc w:val="left"/>
      <w:pPr>
        <w:ind w:left="1620" w:hanging="900"/>
      </w:pPr>
      <w:rPr>
        <w:rFonts w:hint="default"/>
        <w:u w:val="single"/>
      </w:rPr>
    </w:lvl>
    <w:lvl w:ilvl="2">
      <w:start w:val="1"/>
      <w:numFmt w:val="decimal"/>
      <w:lvlText w:val="%1.%2.%3"/>
      <w:lvlJc w:val="left"/>
      <w:pPr>
        <w:ind w:left="2340" w:hanging="900"/>
      </w:pPr>
      <w:rPr>
        <w:rFonts w:hint="default"/>
        <w:u w:val="single"/>
      </w:rPr>
    </w:lvl>
    <w:lvl w:ilvl="3">
      <w:start w:val="1"/>
      <w:numFmt w:val="decimal"/>
      <w:lvlText w:val="%1.%2.%3.%4"/>
      <w:lvlJc w:val="left"/>
      <w:pPr>
        <w:ind w:left="3060" w:hanging="90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27">
    <w:nsid w:val="50A22B3E"/>
    <w:multiLevelType w:val="multilevel"/>
    <w:tmpl w:val="28E68364"/>
    <w:lvl w:ilvl="0">
      <w:start w:val="8"/>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28">
    <w:nsid w:val="517123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2A71B87"/>
    <w:multiLevelType w:val="multilevel"/>
    <w:tmpl w:val="BEC4EFDA"/>
    <w:lvl w:ilvl="0">
      <w:start w:val="1"/>
      <w:numFmt w:val="decimal"/>
      <w:lvlText w:val="%1.0"/>
      <w:lvlJc w:val="left"/>
      <w:pPr>
        <w:tabs>
          <w:tab w:val="num" w:pos="720"/>
        </w:tabs>
        <w:ind w:left="720" w:hanging="720"/>
      </w:pPr>
      <w:rPr>
        <w:rFonts w:hint="default"/>
        <w:b/>
        <w:i/>
      </w:rPr>
    </w:lvl>
    <w:lvl w:ilvl="1">
      <w:start w:val="1"/>
      <w:numFmt w:val="decimal"/>
      <w:lvlText w:val="%1.%2"/>
      <w:lvlJc w:val="left"/>
      <w:pPr>
        <w:tabs>
          <w:tab w:val="num" w:pos="1440"/>
        </w:tabs>
        <w:ind w:left="1440" w:hanging="720"/>
      </w:pPr>
      <w:rPr>
        <w:rFonts w:ascii="Arial" w:hAnsi="Arial" w:cs="Arial" w:hint="default"/>
        <w:b w:val="0"/>
        <w:i/>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6095135"/>
    <w:multiLevelType w:val="hybridMultilevel"/>
    <w:tmpl w:val="4606D094"/>
    <w:lvl w:ilvl="0" w:tplc="9C46C452">
      <w:start w:val="1"/>
      <w:numFmt w:val="bullet"/>
      <w:lvlText w:val=""/>
      <w:lvlJc w:val="left"/>
      <w:pPr>
        <w:ind w:left="2070" w:hanging="360"/>
      </w:pPr>
      <w:rPr>
        <w:rFonts w:ascii="Symbol" w:hAnsi="Symbol" w:hint="default"/>
      </w:rPr>
    </w:lvl>
    <w:lvl w:ilvl="1" w:tplc="220CAE7C">
      <w:start w:val="1"/>
      <w:numFmt w:val="bullet"/>
      <w:lvlText w:val="o"/>
      <w:lvlJc w:val="left"/>
      <w:pPr>
        <w:ind w:left="2790" w:hanging="360"/>
      </w:pPr>
      <w:rPr>
        <w:rFonts w:ascii="Courier New" w:hAnsi="Courier New" w:cs="Courier New" w:hint="default"/>
      </w:rPr>
    </w:lvl>
    <w:lvl w:ilvl="2" w:tplc="4306A59C" w:tentative="1">
      <w:start w:val="1"/>
      <w:numFmt w:val="bullet"/>
      <w:lvlText w:val=""/>
      <w:lvlJc w:val="left"/>
      <w:pPr>
        <w:ind w:left="3510" w:hanging="360"/>
      </w:pPr>
      <w:rPr>
        <w:rFonts w:ascii="Wingdings" w:hAnsi="Wingdings" w:hint="default"/>
      </w:rPr>
    </w:lvl>
    <w:lvl w:ilvl="3" w:tplc="E8AC96C2" w:tentative="1">
      <w:start w:val="1"/>
      <w:numFmt w:val="bullet"/>
      <w:lvlText w:val=""/>
      <w:lvlJc w:val="left"/>
      <w:pPr>
        <w:ind w:left="4230" w:hanging="360"/>
      </w:pPr>
      <w:rPr>
        <w:rFonts w:ascii="Symbol" w:hAnsi="Symbol" w:hint="default"/>
      </w:rPr>
    </w:lvl>
    <w:lvl w:ilvl="4" w:tplc="2FA2B4DC" w:tentative="1">
      <w:start w:val="1"/>
      <w:numFmt w:val="bullet"/>
      <w:lvlText w:val="o"/>
      <w:lvlJc w:val="left"/>
      <w:pPr>
        <w:ind w:left="4950" w:hanging="360"/>
      </w:pPr>
      <w:rPr>
        <w:rFonts w:ascii="Courier New" w:hAnsi="Courier New" w:cs="Courier New" w:hint="default"/>
      </w:rPr>
    </w:lvl>
    <w:lvl w:ilvl="5" w:tplc="E460E29A" w:tentative="1">
      <w:start w:val="1"/>
      <w:numFmt w:val="bullet"/>
      <w:lvlText w:val=""/>
      <w:lvlJc w:val="left"/>
      <w:pPr>
        <w:ind w:left="5670" w:hanging="360"/>
      </w:pPr>
      <w:rPr>
        <w:rFonts w:ascii="Wingdings" w:hAnsi="Wingdings" w:hint="default"/>
      </w:rPr>
    </w:lvl>
    <w:lvl w:ilvl="6" w:tplc="EA4E3F56" w:tentative="1">
      <w:start w:val="1"/>
      <w:numFmt w:val="bullet"/>
      <w:lvlText w:val=""/>
      <w:lvlJc w:val="left"/>
      <w:pPr>
        <w:ind w:left="6390" w:hanging="360"/>
      </w:pPr>
      <w:rPr>
        <w:rFonts w:ascii="Symbol" w:hAnsi="Symbol" w:hint="default"/>
      </w:rPr>
    </w:lvl>
    <w:lvl w:ilvl="7" w:tplc="1D3E1362" w:tentative="1">
      <w:start w:val="1"/>
      <w:numFmt w:val="bullet"/>
      <w:lvlText w:val="o"/>
      <w:lvlJc w:val="left"/>
      <w:pPr>
        <w:ind w:left="7110" w:hanging="360"/>
      </w:pPr>
      <w:rPr>
        <w:rFonts w:ascii="Courier New" w:hAnsi="Courier New" w:cs="Courier New" w:hint="default"/>
      </w:rPr>
    </w:lvl>
    <w:lvl w:ilvl="8" w:tplc="DE1EADB0" w:tentative="1">
      <w:start w:val="1"/>
      <w:numFmt w:val="bullet"/>
      <w:lvlText w:val=""/>
      <w:lvlJc w:val="left"/>
      <w:pPr>
        <w:ind w:left="7830" w:hanging="360"/>
      </w:pPr>
      <w:rPr>
        <w:rFonts w:ascii="Wingdings" w:hAnsi="Wingdings" w:hint="default"/>
      </w:rPr>
    </w:lvl>
  </w:abstractNum>
  <w:abstractNum w:abstractNumId="31">
    <w:nsid w:val="589766D2"/>
    <w:multiLevelType w:val="hybridMultilevel"/>
    <w:tmpl w:val="502AAE8C"/>
    <w:lvl w:ilvl="0" w:tplc="8A02F854">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BC592B"/>
    <w:multiLevelType w:val="multilevel"/>
    <w:tmpl w:val="11B2516E"/>
    <w:lvl w:ilvl="0">
      <w:start w:val="1"/>
      <w:numFmt w:val="decimal"/>
      <w:lvlText w:val="A-%1.0"/>
      <w:lvlJc w:val="left"/>
      <w:pPr>
        <w:ind w:left="1710" w:hanging="900"/>
      </w:pPr>
      <w:rPr>
        <w:rFonts w:hint="default"/>
        <w:b/>
        <w:u w:val="single"/>
      </w:rPr>
    </w:lvl>
    <w:lvl w:ilvl="1">
      <w:start w:val="1"/>
      <w:numFmt w:val="decimal"/>
      <w:lvlText w:val="%1.%2"/>
      <w:lvlJc w:val="left"/>
      <w:pPr>
        <w:ind w:left="1620" w:hanging="900"/>
      </w:pPr>
      <w:rPr>
        <w:rFonts w:hint="default"/>
        <w:u w:val="single"/>
      </w:rPr>
    </w:lvl>
    <w:lvl w:ilvl="2">
      <w:start w:val="1"/>
      <w:numFmt w:val="decimal"/>
      <w:lvlText w:val="%1.%2.%3"/>
      <w:lvlJc w:val="left"/>
      <w:pPr>
        <w:ind w:left="2340" w:hanging="900"/>
      </w:pPr>
      <w:rPr>
        <w:rFonts w:hint="default"/>
        <w:u w:val="single"/>
      </w:rPr>
    </w:lvl>
    <w:lvl w:ilvl="3">
      <w:start w:val="1"/>
      <w:numFmt w:val="decimal"/>
      <w:lvlText w:val="%1.%2.%3.%4"/>
      <w:lvlJc w:val="left"/>
      <w:pPr>
        <w:ind w:left="3060" w:hanging="90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33">
    <w:nsid w:val="61432118"/>
    <w:multiLevelType w:val="multilevel"/>
    <w:tmpl w:val="BE96F3F0"/>
    <w:lvl w:ilvl="0">
      <w:start w:val="6"/>
      <w:numFmt w:val="decimal"/>
      <w:lvlText w:val="%1"/>
      <w:lvlJc w:val="left"/>
      <w:pPr>
        <w:ind w:left="480" w:hanging="480"/>
      </w:pPr>
      <w:rPr>
        <w:rFonts w:hint="default"/>
      </w:rPr>
    </w:lvl>
    <w:lvl w:ilvl="1">
      <w:start w:val="3"/>
      <w:numFmt w:val="decimal"/>
      <w:lvlText w:val="%1.%2"/>
      <w:lvlJc w:val="left"/>
      <w:pPr>
        <w:ind w:left="1560" w:hanging="480"/>
      </w:pPr>
      <w:rPr>
        <w:rFonts w:hint="default"/>
        <w:i/>
      </w:rPr>
    </w:lvl>
    <w:lvl w:ilvl="2">
      <w:start w:val="4"/>
      <w:numFmt w:val="decimal"/>
      <w:lvlText w:val="%1.%2.%3"/>
      <w:lvlJc w:val="left"/>
      <w:pPr>
        <w:ind w:left="2880" w:hanging="720"/>
      </w:pPr>
      <w:rPr>
        <w:rFonts w:hint="default"/>
        <w:i/>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61DA37AB"/>
    <w:multiLevelType w:val="multilevel"/>
    <w:tmpl w:val="F8C690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BF309E0"/>
    <w:multiLevelType w:val="multilevel"/>
    <w:tmpl w:val="18A26F54"/>
    <w:lvl w:ilvl="0">
      <w:start w:val="8"/>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36">
    <w:nsid w:val="6EAA3386"/>
    <w:multiLevelType w:val="multilevel"/>
    <w:tmpl w:val="D59695A8"/>
    <w:lvl w:ilvl="0">
      <w:start w:val="8"/>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7">
    <w:nsid w:val="6FCA75CE"/>
    <w:multiLevelType w:val="multilevel"/>
    <w:tmpl w:val="2910BBF6"/>
    <w:lvl w:ilvl="0">
      <w:start w:val="2"/>
      <w:numFmt w:val="decimal"/>
      <w:lvlText w:val="%1.0"/>
      <w:lvlJc w:val="left"/>
      <w:pPr>
        <w:ind w:left="630" w:hanging="360"/>
      </w:pPr>
      <w:rPr>
        <w:rFonts w:hint="default"/>
        <w:i/>
      </w:rPr>
    </w:lvl>
    <w:lvl w:ilvl="1">
      <w:start w:val="1"/>
      <w:numFmt w:val="decimal"/>
      <w:lvlText w:val="%1.%2"/>
      <w:lvlJc w:val="left"/>
      <w:pPr>
        <w:ind w:left="810" w:hanging="360"/>
      </w:pPr>
      <w:rPr>
        <w:rFonts w:hint="default"/>
        <w:i/>
      </w:rPr>
    </w:lvl>
    <w:lvl w:ilvl="2">
      <w:start w:val="1"/>
      <w:numFmt w:val="decimal"/>
      <w:lvlText w:val="%1.%2.%3"/>
      <w:lvlJc w:val="left"/>
      <w:pPr>
        <w:ind w:left="2430" w:hanging="720"/>
      </w:pPr>
      <w:rPr>
        <w:rFonts w:hint="default"/>
        <w:i/>
      </w:rPr>
    </w:lvl>
    <w:lvl w:ilvl="3">
      <w:start w:val="1"/>
      <w:numFmt w:val="lowerLetter"/>
      <w:lvlText w:val="%4."/>
      <w:lvlJc w:val="left"/>
      <w:pPr>
        <w:ind w:left="3060" w:hanging="720"/>
      </w:pPr>
      <w:rPr>
        <w:rFonts w:hint="default"/>
      </w:rPr>
    </w:lvl>
    <w:lvl w:ilvl="4">
      <w:start w:val="1"/>
      <w:numFmt w:val="decimal"/>
      <w:lvlText w:val="%1.%2.%3.%4.%5"/>
      <w:lvlJc w:val="left"/>
      <w:pPr>
        <w:ind w:left="4230"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50" w:hanging="1440"/>
      </w:pPr>
      <w:rPr>
        <w:rFonts w:hint="default"/>
      </w:rPr>
    </w:lvl>
    <w:lvl w:ilvl="8">
      <w:start w:val="1"/>
      <w:numFmt w:val="decimal"/>
      <w:lvlText w:val="%1.%2.%3.%4.%5.%6.%7.%8.%9"/>
      <w:lvlJc w:val="left"/>
      <w:pPr>
        <w:ind w:left="7830" w:hanging="1800"/>
      </w:pPr>
      <w:rPr>
        <w:rFonts w:hint="default"/>
      </w:rPr>
    </w:lvl>
  </w:abstractNum>
  <w:abstractNum w:abstractNumId="38">
    <w:nsid w:val="72307616"/>
    <w:multiLevelType w:val="hybridMultilevel"/>
    <w:tmpl w:val="07C8F1CA"/>
    <w:lvl w:ilvl="0" w:tplc="12F82740">
      <w:start w:val="1"/>
      <w:numFmt w:val="bullet"/>
      <w:lvlText w:val=""/>
      <w:lvlJc w:val="left"/>
      <w:pPr>
        <w:ind w:left="3600" w:hanging="360"/>
      </w:pPr>
      <w:rPr>
        <w:rFonts w:ascii="Symbol" w:hAnsi="Symbol" w:hint="default"/>
      </w:rPr>
    </w:lvl>
    <w:lvl w:ilvl="1" w:tplc="2B361816" w:tentative="1">
      <w:start w:val="1"/>
      <w:numFmt w:val="bullet"/>
      <w:lvlText w:val="o"/>
      <w:lvlJc w:val="left"/>
      <w:pPr>
        <w:ind w:left="4320" w:hanging="360"/>
      </w:pPr>
      <w:rPr>
        <w:rFonts w:ascii="Courier New" w:hAnsi="Courier New" w:cs="Courier New" w:hint="default"/>
      </w:rPr>
    </w:lvl>
    <w:lvl w:ilvl="2" w:tplc="7624B3A2" w:tentative="1">
      <w:start w:val="1"/>
      <w:numFmt w:val="bullet"/>
      <w:lvlText w:val=""/>
      <w:lvlJc w:val="left"/>
      <w:pPr>
        <w:ind w:left="5040" w:hanging="360"/>
      </w:pPr>
      <w:rPr>
        <w:rFonts w:ascii="Wingdings" w:hAnsi="Wingdings" w:hint="default"/>
      </w:rPr>
    </w:lvl>
    <w:lvl w:ilvl="3" w:tplc="F11A1C6C" w:tentative="1">
      <w:start w:val="1"/>
      <w:numFmt w:val="bullet"/>
      <w:lvlText w:val=""/>
      <w:lvlJc w:val="left"/>
      <w:pPr>
        <w:ind w:left="5760" w:hanging="360"/>
      </w:pPr>
      <w:rPr>
        <w:rFonts w:ascii="Symbol" w:hAnsi="Symbol" w:hint="default"/>
      </w:rPr>
    </w:lvl>
    <w:lvl w:ilvl="4" w:tplc="DE18BBB0" w:tentative="1">
      <w:start w:val="1"/>
      <w:numFmt w:val="bullet"/>
      <w:lvlText w:val="o"/>
      <w:lvlJc w:val="left"/>
      <w:pPr>
        <w:ind w:left="6480" w:hanging="360"/>
      </w:pPr>
      <w:rPr>
        <w:rFonts w:ascii="Courier New" w:hAnsi="Courier New" w:cs="Courier New" w:hint="default"/>
      </w:rPr>
    </w:lvl>
    <w:lvl w:ilvl="5" w:tplc="00E81CCA" w:tentative="1">
      <w:start w:val="1"/>
      <w:numFmt w:val="bullet"/>
      <w:lvlText w:val=""/>
      <w:lvlJc w:val="left"/>
      <w:pPr>
        <w:ind w:left="7200" w:hanging="360"/>
      </w:pPr>
      <w:rPr>
        <w:rFonts w:ascii="Wingdings" w:hAnsi="Wingdings" w:hint="default"/>
      </w:rPr>
    </w:lvl>
    <w:lvl w:ilvl="6" w:tplc="B586897C" w:tentative="1">
      <w:start w:val="1"/>
      <w:numFmt w:val="bullet"/>
      <w:lvlText w:val=""/>
      <w:lvlJc w:val="left"/>
      <w:pPr>
        <w:ind w:left="7920" w:hanging="360"/>
      </w:pPr>
      <w:rPr>
        <w:rFonts w:ascii="Symbol" w:hAnsi="Symbol" w:hint="default"/>
      </w:rPr>
    </w:lvl>
    <w:lvl w:ilvl="7" w:tplc="DA489B30" w:tentative="1">
      <w:start w:val="1"/>
      <w:numFmt w:val="bullet"/>
      <w:lvlText w:val="o"/>
      <w:lvlJc w:val="left"/>
      <w:pPr>
        <w:ind w:left="8640" w:hanging="360"/>
      </w:pPr>
      <w:rPr>
        <w:rFonts w:ascii="Courier New" w:hAnsi="Courier New" w:cs="Courier New" w:hint="default"/>
      </w:rPr>
    </w:lvl>
    <w:lvl w:ilvl="8" w:tplc="228A6B88" w:tentative="1">
      <w:start w:val="1"/>
      <w:numFmt w:val="bullet"/>
      <w:lvlText w:val=""/>
      <w:lvlJc w:val="left"/>
      <w:pPr>
        <w:ind w:left="9360" w:hanging="360"/>
      </w:pPr>
      <w:rPr>
        <w:rFonts w:ascii="Wingdings" w:hAnsi="Wingdings" w:hint="default"/>
      </w:rPr>
    </w:lvl>
  </w:abstractNum>
  <w:abstractNum w:abstractNumId="39">
    <w:nsid w:val="72A74F76"/>
    <w:multiLevelType w:val="multilevel"/>
    <w:tmpl w:val="6CF2D9AA"/>
    <w:lvl w:ilvl="0">
      <w:start w:val="1"/>
      <w:numFmt w:val="decimal"/>
      <w:lvlText w:val="%1"/>
      <w:lvlJc w:val="left"/>
      <w:pPr>
        <w:tabs>
          <w:tab w:val="num" w:pos="720"/>
        </w:tabs>
        <w:ind w:left="720" w:hanging="720"/>
      </w:pPr>
      <w:rPr>
        <w:rFonts w:hint="default"/>
        <w:b/>
        <w:i/>
      </w:rPr>
    </w:lvl>
    <w:lvl w:ilvl="1">
      <w:numFmt w:val="decimal"/>
      <w:lvlText w:val="%1.%2"/>
      <w:lvlJc w:val="left"/>
      <w:pPr>
        <w:tabs>
          <w:tab w:val="num" w:pos="1440"/>
        </w:tabs>
        <w:ind w:left="1440" w:hanging="720"/>
      </w:pPr>
      <w:rPr>
        <w:rFonts w:ascii="Arial" w:hAnsi="Arial" w:cs="Arial" w:hint="default"/>
        <w:b w:val="0"/>
        <w:i/>
        <w:sz w:val="22"/>
        <w:szCs w:val="22"/>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73EE3A47"/>
    <w:multiLevelType w:val="multilevel"/>
    <w:tmpl w:val="2910BBF6"/>
    <w:numStyleLink w:val="Style1"/>
  </w:abstractNum>
  <w:abstractNum w:abstractNumId="41">
    <w:nsid w:val="740A7167"/>
    <w:multiLevelType w:val="multilevel"/>
    <w:tmpl w:val="64DA9AB4"/>
    <w:lvl w:ilvl="0">
      <w:start w:val="8"/>
      <w:numFmt w:val="decimal"/>
      <w:lvlText w:val="%1"/>
      <w:lvlJc w:val="left"/>
      <w:pPr>
        <w:ind w:left="360" w:hanging="360"/>
      </w:pPr>
      <w:rPr>
        <w:rFonts w:hint="default"/>
        <w:i w:val="0"/>
      </w:rPr>
    </w:lvl>
    <w:lvl w:ilvl="1">
      <w:start w:val="2"/>
      <w:numFmt w:val="decimal"/>
      <w:lvlText w:val="%1.%2"/>
      <w:lvlJc w:val="left"/>
      <w:pPr>
        <w:ind w:left="1440" w:hanging="360"/>
      </w:pPr>
      <w:rPr>
        <w:rFonts w:hint="default"/>
        <w:i w:val="0"/>
      </w:rPr>
    </w:lvl>
    <w:lvl w:ilvl="2">
      <w:start w:val="1"/>
      <w:numFmt w:val="decimal"/>
      <w:lvlText w:val="%1.%2.%3"/>
      <w:lvlJc w:val="left"/>
      <w:pPr>
        <w:ind w:left="2880" w:hanging="720"/>
      </w:pPr>
      <w:rPr>
        <w:rFonts w:hint="default"/>
        <w:i w:val="0"/>
      </w:rPr>
    </w:lvl>
    <w:lvl w:ilvl="3">
      <w:start w:val="1"/>
      <w:numFmt w:val="decimal"/>
      <w:lvlText w:val="%1.%2.%3.%4"/>
      <w:lvlJc w:val="left"/>
      <w:pPr>
        <w:ind w:left="3960" w:hanging="72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480" w:hanging="108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000" w:hanging="1440"/>
      </w:pPr>
      <w:rPr>
        <w:rFonts w:hint="default"/>
        <w:i w:val="0"/>
      </w:rPr>
    </w:lvl>
    <w:lvl w:ilvl="8">
      <w:start w:val="1"/>
      <w:numFmt w:val="decimal"/>
      <w:lvlText w:val="%1.%2.%3.%4.%5.%6.%7.%8.%9"/>
      <w:lvlJc w:val="left"/>
      <w:pPr>
        <w:ind w:left="10440" w:hanging="1800"/>
      </w:pPr>
      <w:rPr>
        <w:rFonts w:hint="default"/>
        <w:i w:val="0"/>
      </w:rPr>
    </w:lvl>
  </w:abstractNum>
  <w:abstractNum w:abstractNumId="42">
    <w:nsid w:val="79284F4B"/>
    <w:multiLevelType w:val="multilevel"/>
    <w:tmpl w:val="D9A069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B443D6D"/>
    <w:multiLevelType w:val="multilevel"/>
    <w:tmpl w:val="8B5A5CD2"/>
    <w:lvl w:ilvl="0">
      <w:start w:val="6"/>
      <w:numFmt w:val="decimal"/>
      <w:lvlText w:val="%1"/>
      <w:lvlJc w:val="left"/>
      <w:pPr>
        <w:ind w:left="480" w:hanging="480"/>
      </w:pPr>
      <w:rPr>
        <w:rFonts w:hint="default"/>
      </w:rPr>
    </w:lvl>
    <w:lvl w:ilvl="1">
      <w:start w:val="4"/>
      <w:numFmt w:val="decimal"/>
      <w:lvlText w:val="%1.%2"/>
      <w:lvlJc w:val="left"/>
      <w:pPr>
        <w:ind w:left="840" w:hanging="48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9"/>
  </w:num>
  <w:num w:numId="2">
    <w:abstractNumId w:val="13"/>
  </w:num>
  <w:num w:numId="3">
    <w:abstractNumId w:val="39"/>
  </w:num>
  <w:num w:numId="4">
    <w:abstractNumId w:val="25"/>
  </w:num>
  <w:num w:numId="5">
    <w:abstractNumId w:val="29"/>
  </w:num>
  <w:num w:numId="6">
    <w:abstractNumId w:val="17"/>
  </w:num>
  <w:num w:numId="7">
    <w:abstractNumId w:val="4"/>
  </w:num>
  <w:num w:numId="8">
    <w:abstractNumId w:val="42"/>
  </w:num>
  <w:num w:numId="9">
    <w:abstractNumId w:val="15"/>
  </w:num>
  <w:num w:numId="10">
    <w:abstractNumId w:val="24"/>
  </w:num>
  <w:num w:numId="11">
    <w:abstractNumId w:val="34"/>
  </w:num>
  <w:num w:numId="12">
    <w:abstractNumId w:val="28"/>
  </w:num>
  <w:num w:numId="13">
    <w:abstractNumId w:val="2"/>
  </w:num>
  <w:num w:numId="14">
    <w:abstractNumId w:val="30"/>
  </w:num>
  <w:num w:numId="15">
    <w:abstractNumId w:val="37"/>
  </w:num>
  <w:num w:numId="16">
    <w:abstractNumId w:val="23"/>
  </w:num>
  <w:num w:numId="17">
    <w:abstractNumId w:val="14"/>
  </w:num>
  <w:num w:numId="18">
    <w:abstractNumId w:val="38"/>
  </w:num>
  <w:num w:numId="19">
    <w:abstractNumId w:val="5"/>
  </w:num>
  <w:num w:numId="20">
    <w:abstractNumId w:val="33"/>
  </w:num>
  <w:num w:numId="21">
    <w:abstractNumId w:val="43"/>
  </w:num>
  <w:num w:numId="22">
    <w:abstractNumId w:val="32"/>
  </w:num>
  <w:num w:numId="23">
    <w:abstractNumId w:val="26"/>
  </w:num>
  <w:num w:numId="24">
    <w:abstractNumId w:val="21"/>
  </w:num>
  <w:num w:numId="25">
    <w:abstractNumId w:val="7"/>
  </w:num>
  <w:num w:numId="26">
    <w:abstractNumId w:val="8"/>
  </w:num>
  <w:num w:numId="27">
    <w:abstractNumId w:val="31"/>
  </w:num>
  <w:num w:numId="28">
    <w:abstractNumId w:val="10"/>
  </w:num>
  <w:num w:numId="29">
    <w:abstractNumId w:val="16"/>
  </w:num>
  <w:num w:numId="30">
    <w:abstractNumId w:val="1"/>
  </w:num>
  <w:num w:numId="31">
    <w:abstractNumId w:val="20"/>
  </w:num>
  <w:num w:numId="32">
    <w:abstractNumId w:val="36"/>
  </w:num>
  <w:num w:numId="33">
    <w:abstractNumId w:val="35"/>
  </w:num>
  <w:num w:numId="34">
    <w:abstractNumId w:val="6"/>
  </w:num>
  <w:num w:numId="35">
    <w:abstractNumId w:val="41"/>
  </w:num>
  <w:num w:numId="36">
    <w:abstractNumId w:val="12"/>
  </w:num>
  <w:num w:numId="37">
    <w:abstractNumId w:val="27"/>
  </w:num>
  <w:num w:numId="38">
    <w:abstractNumId w:val="22"/>
  </w:num>
  <w:num w:numId="39">
    <w:abstractNumId w:val="18"/>
  </w:num>
  <w:num w:numId="40">
    <w:abstractNumId w:val="40"/>
  </w:num>
  <w:num w:numId="41">
    <w:abstractNumId w:val="9"/>
  </w:num>
  <w:num w:numId="42">
    <w:abstractNumId w:val="0"/>
  </w:num>
  <w:num w:numId="43">
    <w:abstractNumId w:val="3"/>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 All users Both" w:val="Rinker, Julie (Policy Admn)"/>
    <w:docVar w:name="AP All users Department" w:val="Not Assigned"/>
    <w:docVar w:name="AP All users Full Name" w:val="Julie Rinker"/>
    <w:docVar w:name="AP All users Job Title" w:val="Not Assigned"/>
    <w:docVar w:name="AP All users LNFN" w:val="Rinker, Julie"/>
    <w:docVar w:name="AP Both" w:val="THR Policy Administrator"/>
    <w:docVar w:name="AP Department" w:val="Not Assigned"/>
    <w:docVar w:name="AP Full Name" w:val="THR Policy Administrator"/>
    <w:docVar w:name="AP Groupname" w:val="THR Policy Administrator"/>
    <w:docVar w:name="AP GroupNames and All users Both" w:val="THR Policy Administrator; Rinker, Julie (Policy Admn)"/>
    <w:docVar w:name="AP GroupNames and All users Department" w:val="Not Assigned"/>
    <w:docVar w:name="AP GroupNames and All users Full Name" w:val="THR Policy Administrator; Julie Rinker"/>
    <w:docVar w:name="AP GroupNames and All users Job Title" w:val="Not Assigned"/>
    <w:docVar w:name="AP GroupNames and All users LNFN" w:val="THR Policy Administrator; Rinker, Julie"/>
    <w:docVar w:name="AP Job Title" w:val="Not Assigned"/>
    <w:docVar w:name="AP LNFN" w:val="THR Policy Administrator"/>
    <w:docVar w:name="AV All users Both" w:val="Not Assigned"/>
    <w:docVar w:name="AV All users Department" w:val="Not Assigned"/>
    <w:docVar w:name="AV All users Full Name" w:val="Not Assigned"/>
    <w:docVar w:name="AV All users Job Title" w:val="Not Assigned"/>
    <w:docVar w:name="AV All users LNFN" w:val="Not Assigned"/>
    <w:docVar w:name="AV Both" w:val="Not Assigned"/>
    <w:docVar w:name="AV Department" w:val="Not Assigned"/>
    <w:docVar w:name="AV Full Name" w:val="Not Assigned"/>
    <w:docVar w:name="AV Groupname" w:val="Not Assigned"/>
    <w:docVar w:name="AV GroupNames and All users Both" w:val="Not Assigned; Not Assigned"/>
    <w:docVar w:name="AV GroupNames and All users Department" w:val="Not Assigned"/>
    <w:docVar w:name="AV GroupNames and All users Full Name" w:val="Not Assigned; Not Assigned"/>
    <w:docVar w:name="AV GroupNames and All users Job Title" w:val="Not Assigned"/>
    <w:docVar w:name="AV GroupNames and All users LNFN" w:val="Not Assigned; Not Assigned"/>
    <w:docVar w:name="AV Job Title" w:val="Not Assigned"/>
    <w:docVar w:name="AV LNFN" w:val="Not Assigned"/>
    <w:docVar w:name="Business Title" w:val="Texas Health Resources"/>
    <w:docVar w:name="CA AccountAddress" w:val="N/A"/>
    <w:docVar w:name="CA AccountCity" w:val="N/A"/>
    <w:docVar w:name="CA AccountCountry" w:val="N/A"/>
    <w:docVar w:name="CA AccountName" w:val="N/A"/>
    <w:docVar w:name="CA AccountPostalCode" w:val="N/A"/>
    <w:docVar w:name="CA AccountState" w:val="N/A"/>
    <w:docVar w:name="CA All users Both" w:val="Not Assigned"/>
    <w:docVar w:name="CA All users Department" w:val="Not Assigned"/>
    <w:docVar w:name="CA All users Full Name" w:val="Not Assigned"/>
    <w:docVar w:name="CA All users Job Title" w:val="Not Assigned"/>
    <w:docVar w:name="CA All users LNFN" w:val="Not Assigned"/>
    <w:docVar w:name="CA Both" w:val="Not Assigned"/>
    <w:docVar w:name="CA Department" w:val="Not Assigned"/>
    <w:docVar w:name="CA Full Name" w:val="Not Assigned"/>
    <w:docVar w:name="CA Groupname" w:val="Not Assigned"/>
    <w:docVar w:name="CA GroupNames and All users Both" w:val="Not Assigned; Not Assigned"/>
    <w:docVar w:name="CA GroupNames and All users Department" w:val="Not Assigned"/>
    <w:docVar w:name="CA GroupNames and All users Full Name" w:val="Not Assigned; Not Assigned"/>
    <w:docVar w:name="CA GroupNames and All users Job Title" w:val="Not Assigned"/>
    <w:docVar w:name="CA GroupNames and All users LNFN" w:val="Not Assigned; Not Assigned"/>
    <w:docVar w:name="CA Job Title" w:val="Not Assigned"/>
    <w:docVar w:name="CA LNFN" w:val="Not Assigned"/>
    <w:docVar w:name="Category Titles" w:val="Administrative Services"/>
    <w:docVar w:name="Current Major Version Changes" w:val="6/14/13 - Patt Lowe sent email with additional change to Attachment A.  6/18/13 - Elaine Anderson approved adminsitrative change."/>
    <w:docVar w:name="Date Approved" w:val="06/19/2013"/>
    <w:docVar w:name="Date Archived" w:val="Not Archived Yet"/>
    <w:docVar w:name="Date Created" w:val="06/19/2013"/>
    <w:docVar w:name="Date Expires" w:val="06/19/2016"/>
    <w:docVar w:name="Date Last Reviewed" w:val="N/A"/>
    <w:docVar w:name="Date Submitted" w:val="Set As Approved"/>
    <w:docVar w:name="DC Both" w:val="Rinker, Julie (Policy Admn)"/>
    <w:docVar w:name="DC Department" w:val="Administration - SEVP"/>
    <w:docVar w:name="DC Full Name" w:val="Julie Rinker"/>
    <w:docVar w:name="DC Job Title" w:val="Policy Admn"/>
    <w:docVar w:name="DC LNFN" w:val="Rinker, Julie"/>
    <w:docVar w:name="Department(s)" w:val="Business Office"/>
    <w:docVar w:name="Document Title" w:val="Charity Care Program Policy - THR System Policy"/>
    <w:docVar w:name="Effective Date" w:val="06/19/2013"/>
    <w:docVar w:name="Full Year" w:val="2013"/>
    <w:docVar w:name="Keywords" w:val="charity care, charity"/>
    <w:docVar w:name="Last Periodic Review Date" w:val="06/19/2013"/>
    <w:docVar w:name="Long Day" w:val="Wednesday"/>
    <w:docVar w:name="Long Month" w:val="July"/>
    <w:docVar w:name="Next Periodic Review Date" w:val="06/19/2016"/>
    <w:docVar w:name="Next Review Date" w:val="06/19/2016"/>
    <w:docVar w:name="NoInsertedVariables" w:val="NoInsertedVariables"/>
    <w:docVar w:name="OPT_10216" w:val="Sub-Categories of Laboratory not selected."/>
    <w:docVar w:name="OPT_10254" w:val="Sub-Categories of The Joint Commission not selected."/>
    <w:docVar w:name="OPT_11049" w:val="Sub-Categories of * PolicyConnect Training Materials not selected."/>
    <w:docVar w:name="OPT_12035" w:val="Finance, Policies"/>
    <w:docVar w:name="OPT_15091" w:val="Sub-Categories of Patient Care not selected."/>
    <w:docVar w:name="OPT_Descr_10216" w:val="Sub-Categories of Laboratory not selected, or no descriptions were entered."/>
    <w:docVar w:name="OPT_Descr_10254" w:val="Sub-Categories of The Joint Commission not selected, or no descriptions were entered."/>
    <w:docVar w:name="OPT_Descr_11049" w:val="Sub-Categories of * PolicyConnect Training Materials not selected, or no descriptions were entered."/>
    <w:docVar w:name="OPT_Descr_12035" w:val="Sub-Categories of Administrative Services not selected, or no descriptions were entered."/>
    <w:docVar w:name="OPT_Descr_15091" w:val="Sub-Categories of Patient Care not selected, or no descriptions were entered."/>
    <w:docVar w:name="OPT_HRt_10216" w:val="Sub-Categories of Laboratory not selected."/>
    <w:docVar w:name="OPT_HRt_10254" w:val="Sub-Categories of The Joint Commission not selected."/>
    <w:docVar w:name="OPT_HRt_11049" w:val="Sub-Categories of * PolicyConnect Training Materials not selected."/>
    <w:docVar w:name="OPT_HRt_12035" w:val="Finance_x000d__x000a_Policies"/>
    <w:docVar w:name="OPT_HRt_15091" w:val="Sub-Categories of Patient Care not selected."/>
    <w:docVar w:name="OPT_Title_10216" w:val="Sub-Categories of Laboratory not selected."/>
    <w:docVar w:name="OPT_Title_10254" w:val="Sub-Categories of The Joint Commission not selected."/>
    <w:docVar w:name="OPT_Title_11049" w:val="Sub-Categories of * PolicyConnect Training Materials not selected."/>
    <w:docVar w:name="OPT_Title_12035" w:val="Administrative Services"/>
    <w:docVar w:name="OPT_Title_15091" w:val="Sub-Categories of Patient Care not selected."/>
    <w:docVar w:name="OPT_ValueDescr_10216" w:val="Sub-Categories of Laboratory not selected."/>
    <w:docVar w:name="OPT_ValueDescr_10254" w:val="Sub-Categories of The Joint Commission not selected."/>
    <w:docVar w:name="OPT_ValueDescr_11049" w:val="Sub-Categories of * PolicyConnect Training Materials not selected."/>
    <w:docVar w:name="OPT_ValueDescr_12035" w:val="Finance: _x000d__x000a_Policies:"/>
    <w:docVar w:name="OPT_ValueDescr_15091" w:val="Sub-Categories of Patient Care not selected."/>
    <w:docVar w:name="Option" w:val="N/A"/>
    <w:docVar w:name="Original Creation Date" w:val="06/01/2000"/>
    <w:docVar w:name="Originating Department" w:val="N/A"/>
    <w:docVar w:name="PO Both" w:val="Logsdon, James (VP Revenue Cycle Operations)"/>
    <w:docVar w:name="PO Department" w:val="Business Office"/>
    <w:docVar w:name="PO Full Name" w:val="James Logsdon"/>
    <w:docVar w:name="PO Job Title" w:val="VP Revenue Cycle Operations"/>
    <w:docVar w:name="PO LNFN" w:val="Logsdon, James"/>
    <w:docVar w:name="PPMDB" w:val="N/A"/>
    <w:docVar w:name="RD All users Both" w:val="Not Assigned"/>
    <w:docVar w:name="RD All users Department" w:val="Not Assigned"/>
    <w:docVar w:name="RD All users Full Name" w:val="Not Assigned"/>
    <w:docVar w:name="RD All users Job Title" w:val="Not Assigned"/>
    <w:docVar w:name="RD All users LNFN" w:val="Not Assigned"/>
    <w:docVar w:name="RD Both" w:val="Not Assigned"/>
    <w:docVar w:name="RD Department" w:val="Not Assigned"/>
    <w:docVar w:name="RD Full Name" w:val="Not Assigned"/>
    <w:docVar w:name="RD Groupname" w:val="Not Assigned"/>
    <w:docVar w:name="RD GroupNames and All users Both" w:val="Not Assigned; Not Assigned"/>
    <w:docVar w:name="RD GroupNames and All users Department" w:val="Not Assigned"/>
    <w:docVar w:name="RD GroupNames and All users Full Name" w:val="Not Assigned; Not Assigned"/>
    <w:docVar w:name="RD GroupNames and All users Job Title" w:val="Not Assigned"/>
    <w:docVar w:name="RD GroupNames and All users LNFN" w:val="Not Assigned; Not Assigned"/>
    <w:docVar w:name="RD Job Title" w:val="Not Assigned"/>
    <w:docVar w:name="RD LNFN" w:val="Not Assigned"/>
    <w:docVar w:name="Reference #" w:val="9376"/>
    <w:docVar w:name="Required Readers" w:val="Not Assigned"/>
    <w:docVar w:name="RV All users Both" w:val="Not Assigned"/>
    <w:docVar w:name="RV All users Department" w:val="Not Assigned"/>
    <w:docVar w:name="RV All users Full Name" w:val="Not Assigned"/>
    <w:docVar w:name="RV All users Job Title" w:val="Not Assigned"/>
    <w:docVar w:name="RV All users LNFN" w:val="Not Assigned"/>
    <w:docVar w:name="RV Both" w:val="Not Assigned"/>
    <w:docVar w:name="RV Department" w:val="Not Assigned"/>
    <w:docVar w:name="RV Full Name" w:val="Not Assigned"/>
    <w:docVar w:name="RV Groupname" w:val="Not Assigned"/>
    <w:docVar w:name="RV GroupNames and All users Both" w:val="Not Assigned; Not Assigned"/>
    <w:docVar w:name="RV GroupNames and All users Department" w:val="Not Assigned"/>
    <w:docVar w:name="RV GroupNames and All users Full Name" w:val="Not Assigned; Not Assigned"/>
    <w:docVar w:name="RV GroupNames and All users Job Title" w:val="Not Assigned"/>
    <w:docVar w:name="RV GroupNames and All users LNFN" w:val="Not Assigned; Not Assigned"/>
    <w:docVar w:name="RV Job Title" w:val="Not Assigned"/>
    <w:docVar w:name="RV LNFN" w:val="Not Assigned"/>
    <w:docVar w:name="Short Day" w:val="03"/>
    <w:docVar w:name="Short Month" w:val="07"/>
    <w:docVar w:name="site Name" w:val="THC, THFW, THD, THOP, THSW, THAM, THDN, THHEB, THP, THA, THR, THAZ, THK, THS, THRES, THPR, THCU, THSH, THRE, THAL"/>
    <w:docVar w:name="Supersedes" w:val="v.2 Charity Care Program Policy - THR System Policy"/>
    <w:docVar w:name="Two Digit Year" w:val="13"/>
    <w:docVar w:name="Undefined" w:val="N/A"/>
    <w:docVar w:name="Version" w:val="3"/>
    <w:docVar w:name="WR All users Both" w:val="Not Assigned"/>
    <w:docVar w:name="WR All users Department" w:val="Not Assigned"/>
    <w:docVar w:name="WR All users Full Name" w:val="Not Assigned"/>
    <w:docVar w:name="WR All users Job Title" w:val="Not Assigned"/>
    <w:docVar w:name="WR All users LNFN" w:val="Not Assigned"/>
    <w:docVar w:name="WR Both" w:val="Not Assigned"/>
    <w:docVar w:name="WR Department" w:val="Not Assigned"/>
    <w:docVar w:name="WR Full Name" w:val="Not Assigned"/>
    <w:docVar w:name="WR Groupname" w:val="Not Assigned"/>
    <w:docVar w:name="WR GroupNames and All users Both" w:val="Not Assigned; Not Assigned"/>
    <w:docVar w:name="WR GroupNames and All users Department" w:val="Not Assigned"/>
    <w:docVar w:name="WR GroupNames and All users Full Name" w:val="Not Assigned; Not Assigned"/>
    <w:docVar w:name="WR GroupNames and All users Job Title" w:val="Not Assigned"/>
    <w:docVar w:name="WR GroupNames and All users LNFN" w:val="Not Assigned; Not Assigned"/>
    <w:docVar w:name="WR Job Title" w:val="Not Assigned"/>
    <w:docVar w:name="WR LNFN" w:val="Not Assigned"/>
  </w:docVars>
  <w:rsids>
    <w:rsidRoot w:val="00201298"/>
    <w:rsid w:val="00005BAD"/>
    <w:rsid w:val="00031FAE"/>
    <w:rsid w:val="0003514F"/>
    <w:rsid w:val="00035473"/>
    <w:rsid w:val="00044EFE"/>
    <w:rsid w:val="000532B0"/>
    <w:rsid w:val="000822EF"/>
    <w:rsid w:val="0009540A"/>
    <w:rsid w:val="000956E2"/>
    <w:rsid w:val="000A1F42"/>
    <w:rsid w:val="000A26A3"/>
    <w:rsid w:val="000B27F6"/>
    <w:rsid w:val="000C55FB"/>
    <w:rsid w:val="000F375A"/>
    <w:rsid w:val="000F5EFA"/>
    <w:rsid w:val="001245F2"/>
    <w:rsid w:val="001264A7"/>
    <w:rsid w:val="001365FF"/>
    <w:rsid w:val="00142042"/>
    <w:rsid w:val="00165A25"/>
    <w:rsid w:val="001741F9"/>
    <w:rsid w:val="00174573"/>
    <w:rsid w:val="0018684E"/>
    <w:rsid w:val="0018766F"/>
    <w:rsid w:val="00191E99"/>
    <w:rsid w:val="00195E69"/>
    <w:rsid w:val="001A57E6"/>
    <w:rsid w:val="001A656A"/>
    <w:rsid w:val="001A7D3D"/>
    <w:rsid w:val="001C2B1C"/>
    <w:rsid w:val="001C30FA"/>
    <w:rsid w:val="001C6A0B"/>
    <w:rsid w:val="001D2DE5"/>
    <w:rsid w:val="001D6C28"/>
    <w:rsid w:val="001F0441"/>
    <w:rsid w:val="00201298"/>
    <w:rsid w:val="00222598"/>
    <w:rsid w:val="00226E84"/>
    <w:rsid w:val="00234B61"/>
    <w:rsid w:val="00234E93"/>
    <w:rsid w:val="002702CD"/>
    <w:rsid w:val="00271C6C"/>
    <w:rsid w:val="0027661A"/>
    <w:rsid w:val="00284412"/>
    <w:rsid w:val="002874D8"/>
    <w:rsid w:val="002912ED"/>
    <w:rsid w:val="00292A07"/>
    <w:rsid w:val="002A0556"/>
    <w:rsid w:val="002A0A17"/>
    <w:rsid w:val="002A13F5"/>
    <w:rsid w:val="002C5794"/>
    <w:rsid w:val="002D2B60"/>
    <w:rsid w:val="002D489C"/>
    <w:rsid w:val="002D50C7"/>
    <w:rsid w:val="002D527E"/>
    <w:rsid w:val="002E2A7C"/>
    <w:rsid w:val="002E3876"/>
    <w:rsid w:val="002E74E7"/>
    <w:rsid w:val="002F0BC7"/>
    <w:rsid w:val="002F5C81"/>
    <w:rsid w:val="00310CF8"/>
    <w:rsid w:val="00311B12"/>
    <w:rsid w:val="0031218C"/>
    <w:rsid w:val="003168D2"/>
    <w:rsid w:val="0032300A"/>
    <w:rsid w:val="00331C09"/>
    <w:rsid w:val="00340099"/>
    <w:rsid w:val="00357729"/>
    <w:rsid w:val="00357D53"/>
    <w:rsid w:val="003656B1"/>
    <w:rsid w:val="00373992"/>
    <w:rsid w:val="00383899"/>
    <w:rsid w:val="00383BB8"/>
    <w:rsid w:val="00392EF8"/>
    <w:rsid w:val="003A39E1"/>
    <w:rsid w:val="003A68D1"/>
    <w:rsid w:val="003B00CA"/>
    <w:rsid w:val="003B678A"/>
    <w:rsid w:val="003D6086"/>
    <w:rsid w:val="003E1A25"/>
    <w:rsid w:val="003E5114"/>
    <w:rsid w:val="003F53FC"/>
    <w:rsid w:val="003F7C86"/>
    <w:rsid w:val="00407297"/>
    <w:rsid w:val="004107CE"/>
    <w:rsid w:val="00450A09"/>
    <w:rsid w:val="004560A7"/>
    <w:rsid w:val="004613F9"/>
    <w:rsid w:val="00471948"/>
    <w:rsid w:val="00497F97"/>
    <w:rsid w:val="004A3C30"/>
    <w:rsid w:val="004A77B6"/>
    <w:rsid w:val="004B089A"/>
    <w:rsid w:val="004B4A8A"/>
    <w:rsid w:val="004C07B3"/>
    <w:rsid w:val="004D38A4"/>
    <w:rsid w:val="004D7610"/>
    <w:rsid w:val="004F3163"/>
    <w:rsid w:val="00513F0E"/>
    <w:rsid w:val="00516B04"/>
    <w:rsid w:val="00561F84"/>
    <w:rsid w:val="00575940"/>
    <w:rsid w:val="00583D4E"/>
    <w:rsid w:val="005908D7"/>
    <w:rsid w:val="00591641"/>
    <w:rsid w:val="005A361E"/>
    <w:rsid w:val="005A580C"/>
    <w:rsid w:val="005A5CE4"/>
    <w:rsid w:val="005B1853"/>
    <w:rsid w:val="005C3119"/>
    <w:rsid w:val="005D605B"/>
    <w:rsid w:val="005E71F1"/>
    <w:rsid w:val="005F1901"/>
    <w:rsid w:val="00604B68"/>
    <w:rsid w:val="00620965"/>
    <w:rsid w:val="00621915"/>
    <w:rsid w:val="00621EC6"/>
    <w:rsid w:val="0063094F"/>
    <w:rsid w:val="006461F6"/>
    <w:rsid w:val="0065283B"/>
    <w:rsid w:val="00653D66"/>
    <w:rsid w:val="00683D4A"/>
    <w:rsid w:val="0068663A"/>
    <w:rsid w:val="00695F81"/>
    <w:rsid w:val="006A1082"/>
    <w:rsid w:val="006A5090"/>
    <w:rsid w:val="006B1C4C"/>
    <w:rsid w:val="006B3640"/>
    <w:rsid w:val="006B5FAF"/>
    <w:rsid w:val="006C2607"/>
    <w:rsid w:val="006C4438"/>
    <w:rsid w:val="006E3343"/>
    <w:rsid w:val="006F1F62"/>
    <w:rsid w:val="006F5CD6"/>
    <w:rsid w:val="00701168"/>
    <w:rsid w:val="00704D6D"/>
    <w:rsid w:val="00716987"/>
    <w:rsid w:val="0072759A"/>
    <w:rsid w:val="00731820"/>
    <w:rsid w:val="00732015"/>
    <w:rsid w:val="00740285"/>
    <w:rsid w:val="007659B9"/>
    <w:rsid w:val="00767E5E"/>
    <w:rsid w:val="00781639"/>
    <w:rsid w:val="00797EC4"/>
    <w:rsid w:val="007A0AA8"/>
    <w:rsid w:val="007A1AFC"/>
    <w:rsid w:val="007A46C6"/>
    <w:rsid w:val="007B3E77"/>
    <w:rsid w:val="007B489B"/>
    <w:rsid w:val="007D0895"/>
    <w:rsid w:val="007D0A2D"/>
    <w:rsid w:val="007D33FE"/>
    <w:rsid w:val="007D54EC"/>
    <w:rsid w:val="007D7CDF"/>
    <w:rsid w:val="007E2F08"/>
    <w:rsid w:val="008078BB"/>
    <w:rsid w:val="0083026D"/>
    <w:rsid w:val="0083363F"/>
    <w:rsid w:val="00837A34"/>
    <w:rsid w:val="00844480"/>
    <w:rsid w:val="00844B5B"/>
    <w:rsid w:val="0085628A"/>
    <w:rsid w:val="00857E39"/>
    <w:rsid w:val="00866058"/>
    <w:rsid w:val="008748E8"/>
    <w:rsid w:val="0088338A"/>
    <w:rsid w:val="008872B5"/>
    <w:rsid w:val="0089317D"/>
    <w:rsid w:val="008A5B22"/>
    <w:rsid w:val="008C37F0"/>
    <w:rsid w:val="008C6F85"/>
    <w:rsid w:val="009012AA"/>
    <w:rsid w:val="0090220A"/>
    <w:rsid w:val="009022C3"/>
    <w:rsid w:val="00910497"/>
    <w:rsid w:val="00911888"/>
    <w:rsid w:val="009167DA"/>
    <w:rsid w:val="009171B8"/>
    <w:rsid w:val="0093160F"/>
    <w:rsid w:val="009373D6"/>
    <w:rsid w:val="0094101F"/>
    <w:rsid w:val="009419B6"/>
    <w:rsid w:val="0094445B"/>
    <w:rsid w:val="009517B8"/>
    <w:rsid w:val="00952DA0"/>
    <w:rsid w:val="00955D9A"/>
    <w:rsid w:val="009617D9"/>
    <w:rsid w:val="0097041C"/>
    <w:rsid w:val="009A1A8C"/>
    <w:rsid w:val="009A61FE"/>
    <w:rsid w:val="009D548D"/>
    <w:rsid w:val="009E5030"/>
    <w:rsid w:val="009E5294"/>
    <w:rsid w:val="009E618E"/>
    <w:rsid w:val="009F7D78"/>
    <w:rsid w:val="00A00857"/>
    <w:rsid w:val="00A0136C"/>
    <w:rsid w:val="00A04BCA"/>
    <w:rsid w:val="00A12A6F"/>
    <w:rsid w:val="00A2301B"/>
    <w:rsid w:val="00A36EA1"/>
    <w:rsid w:val="00A433DC"/>
    <w:rsid w:val="00A67898"/>
    <w:rsid w:val="00A7188D"/>
    <w:rsid w:val="00A96D2C"/>
    <w:rsid w:val="00AC46A6"/>
    <w:rsid w:val="00AD18A1"/>
    <w:rsid w:val="00AD1969"/>
    <w:rsid w:val="00AD537B"/>
    <w:rsid w:val="00AE09FF"/>
    <w:rsid w:val="00AE6288"/>
    <w:rsid w:val="00AF08D4"/>
    <w:rsid w:val="00B07A4B"/>
    <w:rsid w:val="00B13DB4"/>
    <w:rsid w:val="00B206AE"/>
    <w:rsid w:val="00B234AB"/>
    <w:rsid w:val="00B243DE"/>
    <w:rsid w:val="00B31238"/>
    <w:rsid w:val="00B40787"/>
    <w:rsid w:val="00B7706F"/>
    <w:rsid w:val="00B94D31"/>
    <w:rsid w:val="00BA0991"/>
    <w:rsid w:val="00BA5579"/>
    <w:rsid w:val="00BB1BC8"/>
    <w:rsid w:val="00BB2A63"/>
    <w:rsid w:val="00BC60C4"/>
    <w:rsid w:val="00BC6F83"/>
    <w:rsid w:val="00BC793A"/>
    <w:rsid w:val="00C005D8"/>
    <w:rsid w:val="00C105F2"/>
    <w:rsid w:val="00C15A7E"/>
    <w:rsid w:val="00C22925"/>
    <w:rsid w:val="00C254DC"/>
    <w:rsid w:val="00C300DD"/>
    <w:rsid w:val="00C410D8"/>
    <w:rsid w:val="00C7044C"/>
    <w:rsid w:val="00C913FE"/>
    <w:rsid w:val="00CA4A8A"/>
    <w:rsid w:val="00CB34DB"/>
    <w:rsid w:val="00CB6AB9"/>
    <w:rsid w:val="00CC7CBD"/>
    <w:rsid w:val="00CF0EB6"/>
    <w:rsid w:val="00D01C79"/>
    <w:rsid w:val="00D02776"/>
    <w:rsid w:val="00D0332D"/>
    <w:rsid w:val="00D03E71"/>
    <w:rsid w:val="00D04C10"/>
    <w:rsid w:val="00D15E91"/>
    <w:rsid w:val="00D15E97"/>
    <w:rsid w:val="00D20419"/>
    <w:rsid w:val="00D21261"/>
    <w:rsid w:val="00D24BFB"/>
    <w:rsid w:val="00D32DA4"/>
    <w:rsid w:val="00D43E35"/>
    <w:rsid w:val="00D92805"/>
    <w:rsid w:val="00D9466F"/>
    <w:rsid w:val="00DA2359"/>
    <w:rsid w:val="00DA4910"/>
    <w:rsid w:val="00DA5796"/>
    <w:rsid w:val="00DB49D8"/>
    <w:rsid w:val="00DC5593"/>
    <w:rsid w:val="00DF1D5E"/>
    <w:rsid w:val="00E17A47"/>
    <w:rsid w:val="00E21BCA"/>
    <w:rsid w:val="00E27C47"/>
    <w:rsid w:val="00E54EF3"/>
    <w:rsid w:val="00E57034"/>
    <w:rsid w:val="00E602B7"/>
    <w:rsid w:val="00E603A3"/>
    <w:rsid w:val="00E60B12"/>
    <w:rsid w:val="00E6403A"/>
    <w:rsid w:val="00E659CC"/>
    <w:rsid w:val="00E76EB3"/>
    <w:rsid w:val="00E90155"/>
    <w:rsid w:val="00EB3840"/>
    <w:rsid w:val="00EB40C2"/>
    <w:rsid w:val="00ED25FE"/>
    <w:rsid w:val="00EF06C3"/>
    <w:rsid w:val="00F021F8"/>
    <w:rsid w:val="00F101F4"/>
    <w:rsid w:val="00F11F63"/>
    <w:rsid w:val="00F24EA0"/>
    <w:rsid w:val="00F269A2"/>
    <w:rsid w:val="00F36FE7"/>
    <w:rsid w:val="00F5456D"/>
    <w:rsid w:val="00F718DA"/>
    <w:rsid w:val="00F73B24"/>
    <w:rsid w:val="00F771A7"/>
    <w:rsid w:val="00F920ED"/>
    <w:rsid w:val="00F979B1"/>
    <w:rsid w:val="00FB433C"/>
    <w:rsid w:val="00FC17AD"/>
    <w:rsid w:val="00FC345D"/>
    <w:rsid w:val="00FD7B41"/>
    <w:rsid w:val="00FF1D45"/>
    <w:rsid w:val="00FF76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B98404"/>
  <w15:docId w15:val="{EFBF8E9A-E8DE-4B40-AA58-3C732BD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086"/>
    <w:pPr>
      <w:autoSpaceDE w:val="0"/>
      <w:autoSpaceDN w:val="0"/>
      <w:adjustRightInd w:val="0"/>
      <w:spacing w:before="320" w:line="324" w:lineRule="auto"/>
    </w:pPr>
    <w:rPr>
      <w:rFonts w:ascii="Arial" w:eastAsia="Times New Roman" w:hAnsi="Arial"/>
      <w:sz w:val="22"/>
      <w:szCs w:val="24"/>
      <w:lang w:bidi="he-IL"/>
    </w:rPr>
  </w:style>
  <w:style w:type="paragraph" w:styleId="Heading1">
    <w:name w:val="heading 1"/>
    <w:basedOn w:val="Normal"/>
    <w:next w:val="Normal"/>
    <w:link w:val="Heading1Char"/>
    <w:uiPriority w:val="9"/>
    <w:qFormat/>
    <w:rsid w:val="001C30FA"/>
    <w:pPr>
      <w:keepNext/>
      <w:numPr>
        <w:numId w:val="43"/>
      </w:numPr>
      <w:outlineLvl w:val="0"/>
    </w:pPr>
    <w:rPr>
      <w:rFonts w:cs="Arial"/>
      <w:b/>
      <w:i/>
      <w:szCs w:val="22"/>
    </w:rPr>
  </w:style>
  <w:style w:type="paragraph" w:styleId="Heading2">
    <w:name w:val="heading 2"/>
    <w:basedOn w:val="Normal"/>
    <w:next w:val="Normal"/>
    <w:link w:val="Heading2Char"/>
    <w:uiPriority w:val="9"/>
    <w:unhideWhenUsed/>
    <w:qFormat/>
    <w:rsid w:val="001C30FA"/>
    <w:pPr>
      <w:keepNext/>
      <w:numPr>
        <w:ilvl w:val="1"/>
        <w:numId w:val="43"/>
      </w:numPr>
      <w:spacing w:before="240"/>
      <w:outlineLvl w:val="1"/>
    </w:pPr>
    <w:rPr>
      <w:rFonts w:asciiTheme="minorBidi" w:eastAsiaTheme="majorEastAsia" w:hAnsiTheme="minorBidi" w:cstheme="majorBidi"/>
      <w:bCs/>
      <w:iCs/>
      <w:szCs w:val="28"/>
    </w:rPr>
  </w:style>
  <w:style w:type="paragraph" w:styleId="Heading3">
    <w:name w:val="heading 3"/>
    <w:basedOn w:val="Normal"/>
    <w:next w:val="Normal"/>
    <w:link w:val="Heading3Char"/>
    <w:uiPriority w:val="9"/>
    <w:unhideWhenUsed/>
    <w:qFormat/>
    <w:rsid w:val="001C30FA"/>
    <w:pPr>
      <w:keepNext/>
      <w:numPr>
        <w:ilvl w:val="2"/>
        <w:numId w:val="43"/>
      </w:numPr>
      <w:outlineLvl w:val="2"/>
    </w:pPr>
    <w:rPr>
      <w:rFonts w:eastAsiaTheme="majorEastAsia" w:cstheme="majorBidi"/>
      <w:bCs/>
      <w:szCs w:val="26"/>
    </w:rPr>
  </w:style>
  <w:style w:type="paragraph" w:styleId="Heading4">
    <w:name w:val="heading 4"/>
    <w:basedOn w:val="Normal"/>
    <w:next w:val="Normal"/>
    <w:link w:val="Heading4Char"/>
    <w:uiPriority w:val="9"/>
    <w:unhideWhenUsed/>
    <w:qFormat/>
    <w:rsid w:val="003D6086"/>
    <w:pPr>
      <w:outlineLvl w:val="3"/>
    </w:pPr>
    <w:rPr>
      <w:b/>
      <w:bCs/>
      <w:u w:val="single"/>
    </w:rPr>
  </w:style>
  <w:style w:type="paragraph" w:styleId="Heading5">
    <w:name w:val="heading 5"/>
    <w:basedOn w:val="Normal"/>
    <w:next w:val="Normal"/>
    <w:link w:val="Heading5Char"/>
    <w:uiPriority w:val="9"/>
    <w:unhideWhenUsed/>
    <w:qFormat/>
    <w:rsid w:val="003D6086"/>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Heading3"/>
    <w:link w:val="ListParagraphChar"/>
    <w:uiPriority w:val="34"/>
    <w:qFormat/>
    <w:rsid w:val="001C30FA"/>
    <w:pPr>
      <w:keepNext w:val="0"/>
      <w:numPr>
        <w:ilvl w:val="3"/>
      </w:numPr>
    </w:pPr>
  </w:style>
  <w:style w:type="paragraph" w:styleId="Header">
    <w:name w:val="header"/>
    <w:basedOn w:val="Normal"/>
    <w:link w:val="HeaderChar"/>
    <w:uiPriority w:val="99"/>
    <w:unhideWhenUsed/>
    <w:rsid w:val="00201298"/>
    <w:pPr>
      <w:tabs>
        <w:tab w:val="center" w:pos="4680"/>
        <w:tab w:val="right" w:pos="9360"/>
      </w:tabs>
    </w:pPr>
    <w:rPr>
      <w:lang w:val="x-none" w:eastAsia="x-none"/>
    </w:rPr>
  </w:style>
  <w:style w:type="character" w:customStyle="1" w:styleId="HeaderChar">
    <w:name w:val="Header Char"/>
    <w:link w:val="Header"/>
    <w:uiPriority w:val="99"/>
    <w:rsid w:val="00201298"/>
    <w:rPr>
      <w:rFonts w:ascii="Times New Roman" w:eastAsia="Times New Roman" w:hAnsi="Times New Roman" w:cs="Times New Roman"/>
      <w:sz w:val="20"/>
      <w:szCs w:val="24"/>
      <w:lang w:bidi="he-IL"/>
    </w:rPr>
  </w:style>
  <w:style w:type="paragraph" w:styleId="Footer">
    <w:name w:val="footer"/>
    <w:basedOn w:val="Normal"/>
    <w:link w:val="FooterChar"/>
    <w:uiPriority w:val="99"/>
    <w:unhideWhenUsed/>
    <w:rsid w:val="00201298"/>
    <w:pPr>
      <w:tabs>
        <w:tab w:val="center" w:pos="4680"/>
        <w:tab w:val="right" w:pos="9360"/>
      </w:tabs>
    </w:pPr>
    <w:rPr>
      <w:lang w:val="x-none" w:eastAsia="x-none"/>
    </w:rPr>
  </w:style>
  <w:style w:type="character" w:customStyle="1" w:styleId="FooterChar">
    <w:name w:val="Footer Char"/>
    <w:link w:val="Footer"/>
    <w:uiPriority w:val="99"/>
    <w:rsid w:val="00201298"/>
    <w:rPr>
      <w:rFonts w:ascii="Times New Roman" w:eastAsia="Times New Roman" w:hAnsi="Times New Roman" w:cs="Times New Roman"/>
      <w:sz w:val="20"/>
      <w:szCs w:val="24"/>
      <w:lang w:bidi="he-IL"/>
    </w:rPr>
  </w:style>
  <w:style w:type="paragraph" w:styleId="BalloonText">
    <w:name w:val="Balloon Text"/>
    <w:basedOn w:val="Normal"/>
    <w:link w:val="BalloonTextChar"/>
    <w:uiPriority w:val="99"/>
    <w:semiHidden/>
    <w:unhideWhenUsed/>
    <w:rsid w:val="008C4010"/>
    <w:rPr>
      <w:rFonts w:ascii="Tahoma" w:hAnsi="Tahoma" w:cs="Tahoma"/>
      <w:sz w:val="16"/>
      <w:szCs w:val="16"/>
      <w:lang w:val="x-none" w:eastAsia="x-none"/>
    </w:rPr>
  </w:style>
  <w:style w:type="character" w:customStyle="1" w:styleId="BalloonTextChar">
    <w:name w:val="Balloon Text Char"/>
    <w:link w:val="BalloonText"/>
    <w:uiPriority w:val="99"/>
    <w:semiHidden/>
    <w:rsid w:val="008C4010"/>
    <w:rPr>
      <w:rFonts w:ascii="Tahoma" w:eastAsia="Times New Roman" w:hAnsi="Tahoma" w:cs="Tahoma"/>
      <w:sz w:val="16"/>
      <w:szCs w:val="16"/>
      <w:lang w:bidi="he-IL"/>
    </w:rPr>
  </w:style>
  <w:style w:type="paragraph" w:styleId="NormalWeb">
    <w:name w:val="Normal (Web)"/>
    <w:basedOn w:val="Normal"/>
    <w:uiPriority w:val="99"/>
    <w:rsid w:val="009457C9"/>
    <w:pPr>
      <w:autoSpaceDE/>
      <w:autoSpaceDN/>
      <w:adjustRightInd/>
      <w:spacing w:before="100" w:beforeAutospacing="1" w:after="100" w:afterAutospacing="1"/>
    </w:pPr>
    <w:rPr>
      <w:sz w:val="24"/>
      <w:lang w:bidi="ar-SA"/>
    </w:rPr>
  </w:style>
  <w:style w:type="character" w:styleId="Emphasis">
    <w:name w:val="Emphasis"/>
    <w:uiPriority w:val="20"/>
    <w:qFormat/>
    <w:rsid w:val="00DE6F3C"/>
    <w:rPr>
      <w:b/>
      <w:bCs/>
      <w:i w:val="0"/>
      <w:iCs w:val="0"/>
    </w:rPr>
  </w:style>
  <w:style w:type="table" w:styleId="TableGrid">
    <w:name w:val="Table Grid"/>
    <w:basedOn w:val="TableNormal"/>
    <w:uiPriority w:val="59"/>
    <w:rsid w:val="00C410D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A0A17"/>
    <w:rPr>
      <w:sz w:val="16"/>
      <w:szCs w:val="16"/>
    </w:rPr>
  </w:style>
  <w:style w:type="paragraph" w:styleId="CommentText">
    <w:name w:val="annotation text"/>
    <w:basedOn w:val="Normal"/>
    <w:link w:val="CommentTextChar"/>
    <w:uiPriority w:val="99"/>
    <w:semiHidden/>
    <w:unhideWhenUsed/>
    <w:rsid w:val="002A0A17"/>
    <w:rPr>
      <w:szCs w:val="20"/>
    </w:rPr>
  </w:style>
  <w:style w:type="character" w:customStyle="1" w:styleId="CommentTextChar">
    <w:name w:val="Comment Text Char"/>
    <w:link w:val="CommentText"/>
    <w:uiPriority w:val="99"/>
    <w:semiHidden/>
    <w:rsid w:val="002A0A17"/>
    <w:rPr>
      <w:rFonts w:ascii="Times New Roman" w:eastAsia="Times New Roman" w:hAnsi="Times New Roman"/>
      <w:lang w:bidi="he-IL"/>
    </w:rPr>
  </w:style>
  <w:style w:type="paragraph" w:styleId="CommentSubject">
    <w:name w:val="annotation subject"/>
    <w:basedOn w:val="CommentText"/>
    <w:next w:val="CommentText"/>
    <w:link w:val="CommentSubjectChar"/>
    <w:uiPriority w:val="99"/>
    <w:semiHidden/>
    <w:unhideWhenUsed/>
    <w:rsid w:val="002A0A17"/>
    <w:rPr>
      <w:b/>
      <w:bCs/>
    </w:rPr>
  </w:style>
  <w:style w:type="character" w:customStyle="1" w:styleId="CommentSubjectChar">
    <w:name w:val="Comment Subject Char"/>
    <w:link w:val="CommentSubject"/>
    <w:uiPriority w:val="99"/>
    <w:semiHidden/>
    <w:rsid w:val="002A0A17"/>
    <w:rPr>
      <w:rFonts w:ascii="Times New Roman" w:eastAsia="Times New Roman" w:hAnsi="Times New Roman"/>
      <w:b/>
      <w:bCs/>
      <w:lang w:bidi="he-IL"/>
    </w:rPr>
  </w:style>
  <w:style w:type="character" w:styleId="Hyperlink">
    <w:name w:val="Hyperlink"/>
    <w:uiPriority w:val="99"/>
    <w:unhideWhenUsed/>
    <w:rsid w:val="004107CE"/>
    <w:rPr>
      <w:color w:val="0000FF"/>
      <w:u w:val="single"/>
    </w:rPr>
  </w:style>
  <w:style w:type="paragraph" w:styleId="Revision">
    <w:name w:val="Revision"/>
    <w:hidden/>
    <w:uiPriority w:val="99"/>
    <w:semiHidden/>
    <w:rsid w:val="008872B5"/>
    <w:rPr>
      <w:rFonts w:ascii="Times New Roman" w:eastAsia="Times New Roman" w:hAnsi="Times New Roman"/>
      <w:szCs w:val="24"/>
      <w:lang w:bidi="he-IL"/>
    </w:rPr>
  </w:style>
  <w:style w:type="paragraph" w:customStyle="1" w:styleId="Default">
    <w:name w:val="Default"/>
    <w:rsid w:val="00E603A3"/>
    <w:pPr>
      <w:autoSpaceDE w:val="0"/>
      <w:autoSpaceDN w:val="0"/>
      <w:adjustRightInd w:val="0"/>
    </w:pPr>
    <w:rPr>
      <w:rFonts w:cs="Calibri"/>
      <w:color w:val="000000"/>
      <w:sz w:val="24"/>
      <w:szCs w:val="24"/>
    </w:rPr>
  </w:style>
  <w:style w:type="numbering" w:customStyle="1" w:styleId="Style1">
    <w:name w:val="Style1"/>
    <w:uiPriority w:val="99"/>
    <w:rsid w:val="00331C09"/>
    <w:pPr>
      <w:numPr>
        <w:numId w:val="39"/>
      </w:numPr>
    </w:pPr>
  </w:style>
  <w:style w:type="character" w:customStyle="1" w:styleId="Heading1Char">
    <w:name w:val="Heading 1 Char"/>
    <w:basedOn w:val="DefaultParagraphFont"/>
    <w:link w:val="Heading1"/>
    <w:uiPriority w:val="9"/>
    <w:rsid w:val="001C30FA"/>
    <w:rPr>
      <w:rFonts w:ascii="Arial" w:eastAsia="Times New Roman" w:hAnsi="Arial" w:cs="Arial"/>
      <w:b/>
      <w:i/>
      <w:sz w:val="22"/>
      <w:szCs w:val="22"/>
      <w:lang w:bidi="he-IL"/>
    </w:rPr>
  </w:style>
  <w:style w:type="character" w:customStyle="1" w:styleId="Heading2Char">
    <w:name w:val="Heading 2 Char"/>
    <w:basedOn w:val="DefaultParagraphFont"/>
    <w:link w:val="Heading2"/>
    <w:uiPriority w:val="9"/>
    <w:rsid w:val="001C30FA"/>
    <w:rPr>
      <w:rFonts w:asciiTheme="minorBidi" w:eastAsiaTheme="majorEastAsia" w:hAnsiTheme="minorBidi" w:cstheme="majorBidi"/>
      <w:bCs/>
      <w:iCs/>
      <w:sz w:val="22"/>
      <w:szCs w:val="28"/>
      <w:lang w:bidi="he-IL"/>
    </w:rPr>
  </w:style>
  <w:style w:type="character" w:customStyle="1" w:styleId="Heading3Char">
    <w:name w:val="Heading 3 Char"/>
    <w:basedOn w:val="DefaultParagraphFont"/>
    <w:link w:val="Heading3"/>
    <w:uiPriority w:val="9"/>
    <w:rsid w:val="001C30FA"/>
    <w:rPr>
      <w:rFonts w:ascii="Arial" w:eastAsiaTheme="majorEastAsia" w:hAnsi="Arial" w:cstheme="majorBidi"/>
      <w:bCs/>
      <w:sz w:val="22"/>
      <w:szCs w:val="26"/>
      <w:lang w:bidi="he-IL"/>
    </w:rPr>
  </w:style>
  <w:style w:type="paragraph" w:styleId="NoSpacing">
    <w:name w:val="No Spacing"/>
    <w:uiPriority w:val="1"/>
    <w:qFormat/>
    <w:rsid w:val="003D6086"/>
    <w:pPr>
      <w:autoSpaceDE w:val="0"/>
      <w:autoSpaceDN w:val="0"/>
      <w:adjustRightInd w:val="0"/>
      <w:spacing w:line="324" w:lineRule="auto"/>
    </w:pPr>
    <w:rPr>
      <w:rFonts w:ascii="Arial" w:eastAsia="Times New Roman" w:hAnsi="Arial"/>
      <w:sz w:val="22"/>
      <w:szCs w:val="24"/>
      <w:lang w:bidi="he-IL"/>
    </w:rPr>
  </w:style>
  <w:style w:type="character" w:styleId="SubtleEmphasis">
    <w:name w:val="Subtle Emphasis"/>
    <w:uiPriority w:val="19"/>
    <w:qFormat/>
    <w:rsid w:val="00DB49D8"/>
    <w:rPr>
      <w:rFonts w:cstheme="minorBidi"/>
      <w:szCs w:val="22"/>
      <w:u w:val="single"/>
    </w:rPr>
  </w:style>
  <w:style w:type="character" w:customStyle="1" w:styleId="Heading4Char">
    <w:name w:val="Heading 4 Char"/>
    <w:basedOn w:val="DefaultParagraphFont"/>
    <w:link w:val="Heading4"/>
    <w:uiPriority w:val="9"/>
    <w:rsid w:val="003D6086"/>
    <w:rPr>
      <w:rFonts w:ascii="Arial" w:eastAsia="Times New Roman" w:hAnsi="Arial"/>
      <w:b/>
      <w:bCs/>
      <w:sz w:val="22"/>
      <w:szCs w:val="24"/>
      <w:u w:val="single"/>
      <w:lang w:bidi="he-IL"/>
    </w:rPr>
  </w:style>
  <w:style w:type="paragraph" w:customStyle="1" w:styleId="ListParagraph2">
    <w:name w:val="List Paragraph 2"/>
    <w:basedOn w:val="ListParagraph"/>
    <w:link w:val="ListParagraph2Char"/>
    <w:qFormat/>
    <w:rsid w:val="001C30FA"/>
    <w:pPr>
      <w:numPr>
        <w:ilvl w:val="4"/>
      </w:numPr>
      <w:spacing w:before="0"/>
      <w:contextualSpacing/>
    </w:pPr>
  </w:style>
  <w:style w:type="paragraph" w:styleId="Title">
    <w:name w:val="Title"/>
    <w:basedOn w:val="Normal"/>
    <w:next w:val="Normal"/>
    <w:link w:val="TitleChar"/>
    <w:uiPriority w:val="10"/>
    <w:qFormat/>
    <w:rsid w:val="00F11F63"/>
    <w:pPr>
      <w:spacing w:before="0"/>
      <w:jc w:val="center"/>
    </w:pPr>
    <w:rPr>
      <w:b/>
      <w:bCs/>
    </w:rPr>
  </w:style>
  <w:style w:type="character" w:customStyle="1" w:styleId="ListParagraphChar">
    <w:name w:val="List Paragraph Char"/>
    <w:basedOn w:val="Heading3Char"/>
    <w:link w:val="ListParagraph"/>
    <w:uiPriority w:val="34"/>
    <w:rsid w:val="001C30FA"/>
    <w:rPr>
      <w:rFonts w:ascii="Arial" w:eastAsiaTheme="majorEastAsia" w:hAnsi="Arial" w:cstheme="majorBidi"/>
      <w:bCs/>
      <w:sz w:val="22"/>
      <w:szCs w:val="26"/>
      <w:lang w:bidi="he-IL"/>
    </w:rPr>
  </w:style>
  <w:style w:type="character" w:customStyle="1" w:styleId="ListParagraph2Char">
    <w:name w:val="List Paragraph 2 Char"/>
    <w:basedOn w:val="ListParagraphChar"/>
    <w:link w:val="ListParagraph2"/>
    <w:rsid w:val="001C30FA"/>
    <w:rPr>
      <w:rFonts w:ascii="Arial" w:eastAsiaTheme="majorEastAsia" w:hAnsi="Arial" w:cstheme="majorBidi"/>
      <w:bCs/>
      <w:sz w:val="22"/>
      <w:szCs w:val="26"/>
      <w:lang w:bidi="he-IL"/>
    </w:rPr>
  </w:style>
  <w:style w:type="character" w:customStyle="1" w:styleId="TitleChar">
    <w:name w:val="Title Char"/>
    <w:basedOn w:val="DefaultParagraphFont"/>
    <w:link w:val="Title"/>
    <w:uiPriority w:val="10"/>
    <w:rsid w:val="00F11F63"/>
    <w:rPr>
      <w:rFonts w:ascii="Arial" w:eastAsia="Times New Roman" w:hAnsi="Arial"/>
      <w:b/>
      <w:bCs/>
      <w:sz w:val="22"/>
      <w:szCs w:val="24"/>
      <w:lang w:bidi="he-IL"/>
    </w:rPr>
  </w:style>
  <w:style w:type="paragraph" w:customStyle="1" w:styleId="ListParagraph3">
    <w:name w:val="List Paragraph 3"/>
    <w:basedOn w:val="Normal"/>
    <w:link w:val="ListParagraph3Char"/>
    <w:qFormat/>
    <w:rsid w:val="003D6086"/>
    <w:pPr>
      <w:keepNext/>
      <w:numPr>
        <w:numId w:val="44"/>
      </w:numPr>
      <w:ind w:left="907" w:hanging="907"/>
    </w:pPr>
    <w:rPr>
      <w:b/>
      <w:bCs/>
      <w:u w:val="single"/>
    </w:rPr>
  </w:style>
  <w:style w:type="character" w:customStyle="1" w:styleId="Heading5Char">
    <w:name w:val="Heading 5 Char"/>
    <w:basedOn w:val="DefaultParagraphFont"/>
    <w:link w:val="Heading5"/>
    <w:uiPriority w:val="9"/>
    <w:rsid w:val="003D6086"/>
    <w:rPr>
      <w:rFonts w:asciiTheme="minorHAnsi" w:eastAsiaTheme="minorEastAsia" w:hAnsiTheme="minorHAnsi" w:cstheme="minorBidi"/>
      <w:b/>
      <w:bCs/>
      <w:i/>
      <w:iCs/>
      <w:sz w:val="26"/>
      <w:szCs w:val="26"/>
      <w:lang w:bidi="he-IL"/>
    </w:rPr>
  </w:style>
  <w:style w:type="character" w:customStyle="1" w:styleId="ListParagraph3Char">
    <w:name w:val="List Paragraph 3 Char"/>
    <w:basedOn w:val="DefaultParagraphFont"/>
    <w:link w:val="ListParagraph3"/>
    <w:rsid w:val="003D6086"/>
    <w:rPr>
      <w:rFonts w:ascii="Arial" w:eastAsia="Times New Roman" w:hAnsi="Arial"/>
      <w:b/>
      <w:bCs/>
      <w:sz w:val="22"/>
      <w:szCs w:val="24"/>
      <w:u w:val="single"/>
      <w:lang w:bidi="he-IL"/>
    </w:rPr>
  </w:style>
  <w:style w:type="paragraph" w:styleId="BodyText">
    <w:name w:val="Body Text"/>
    <w:basedOn w:val="Normal"/>
    <w:link w:val="BodyTextChar"/>
    <w:uiPriority w:val="99"/>
    <w:rsid w:val="003D6086"/>
    <w:pPr>
      <w:spacing w:before="0"/>
      <w:ind w:left="907"/>
    </w:pPr>
  </w:style>
  <w:style w:type="character" w:customStyle="1" w:styleId="BodyTextChar">
    <w:name w:val="Body Text Char"/>
    <w:basedOn w:val="DefaultParagraphFont"/>
    <w:link w:val="BodyText"/>
    <w:uiPriority w:val="99"/>
    <w:rsid w:val="003D6086"/>
    <w:rPr>
      <w:rFonts w:ascii="Arial" w:eastAsia="Times New Roman" w:hAnsi="Arial"/>
      <w:sz w:val="22"/>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6d0bd4aebe44f048518c2b92e912dde xmlns="189d0439-5b38-42da-9e42-125d229fd3cc">
      <Terms xmlns="http://schemas.microsoft.com/office/infopath/2007/PartnerControls"/>
    </d6d0bd4aebe44f048518c2b92e912dde>
    <nb56471b3b68479b862171af60c4d604 xmlns="189d0439-5b38-42da-9e42-125d229fd3cc">
      <Terms xmlns="http://schemas.microsoft.com/office/infopath/2007/PartnerControls">
        <TermInfo xmlns="http://schemas.microsoft.com/office/infopath/2007/PartnerControls">
          <TermName xmlns="http://schemas.microsoft.com/office/infopath/2007/PartnerControls">Texas Health Resources</TermName>
          <TermId xmlns="http://schemas.microsoft.com/office/infopath/2007/PartnerControls">9d01499c-6067-4e78-a120-8254271773aa</TermId>
        </TermInfo>
      </Terms>
    </nb56471b3b68479b862171af60c4d604>
    <Category_x0020_Lookup xmlns="189d0439-5b38-42da-9e42-125d229fd3cc" xsi:nil="true"/>
    <Language0 xmlns="189d0439-5b38-42da-9e42-125d229fd3cc" xsi:nil="true"/>
    <me2345ccb9b74a88a67ac77d9edc80a2 xmlns="189d0439-5b38-42da-9e42-125d229fd3cc">
      <Terms xmlns="http://schemas.microsoft.com/office/infopath/2007/PartnerControls">
        <TermInfo xmlns="http://schemas.microsoft.com/office/infopath/2007/PartnerControls">
          <TermName xmlns="http://schemas.microsoft.com/office/infopath/2007/PartnerControls">Vietnamese</TermName>
          <TermId xmlns="http://schemas.microsoft.com/office/infopath/2007/PartnerControls">928bc085-3cc7-40c4-b062-36f5ec6837af</TermId>
        </TermInfo>
      </Terms>
    </me2345ccb9b74a88a67ac77d9edc80a2>
    <Entity_x0020_Usage0 xmlns="189d0439-5b38-42da-9e42-125d229fd3cc" xsi:nil="true"/>
    <Submitted_x0020_By xmlns="189d0439-5b38-42da-9e42-125d229fd3cc">
      <UserInfo>
        <DisplayName>TEXAS\caducsw</DisplayName>
        <AccountId>5965</AccountId>
        <AccountType/>
      </UserInfo>
    </Submitted_x0020_By>
    <TaxKeywordTaxHTField xmlns="55a9bad4-5b4d-4166-9db9-296c9c540192">
      <Terms xmlns="http://schemas.microsoft.com/office/infopath/2007/PartnerControls"/>
    </TaxKeywordTaxHTField>
    <TaxCatchAll xmlns="55a9bad4-5b4d-4166-9db9-296c9c540192">
      <Value>7</Value>
      <Value>22</Value>
    </TaxCatchAll>
    <AverageRating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A6D965AE3A7943A908BBE27A15E3D2" ma:contentTypeVersion="26" ma:contentTypeDescription="Create a new document." ma:contentTypeScope="" ma:versionID="c4e252d01c109ce386e561c4abff79cb">
  <xsd:schema xmlns:xsd="http://www.w3.org/2001/XMLSchema" xmlns:xs="http://www.w3.org/2001/XMLSchema" xmlns:p="http://schemas.microsoft.com/office/2006/metadata/properties" xmlns:ns1="http://schemas.microsoft.com/sharepoint/v3" xmlns:ns2="189d0439-5b38-42da-9e42-125d229fd3cc" xmlns:ns3="55a9bad4-5b4d-4166-9db9-296c9c540192" targetNamespace="http://schemas.microsoft.com/office/2006/metadata/properties" ma:root="true" ma:fieldsID="28354234a8a80e3e875a72da18203d15" ns1:_="" ns2:_="" ns3:_="">
    <xsd:import namespace="http://schemas.microsoft.com/sharepoint/v3"/>
    <xsd:import namespace="189d0439-5b38-42da-9e42-125d229fd3cc"/>
    <xsd:import namespace="55a9bad4-5b4d-4166-9db9-296c9c540192"/>
    <xsd:element name="properties">
      <xsd:complexType>
        <xsd:sequence>
          <xsd:element name="documentManagement">
            <xsd:complexType>
              <xsd:all>
                <xsd:element ref="ns2:Submitted_x0020_By" minOccurs="0"/>
                <xsd:element ref="ns2:Category_x0020_Lookup" minOccurs="0"/>
                <xsd:element ref="ns2:Entity_x0020_Usage0" minOccurs="0"/>
                <xsd:element ref="ns2:Language0" minOccurs="0"/>
                <xsd:element ref="ns3:TaxKeywordTaxHTField" minOccurs="0"/>
                <xsd:element ref="ns3:TaxCatchAll" minOccurs="0"/>
                <xsd:element ref="ns1:AverageRating" minOccurs="0"/>
                <xsd:element ref="ns1:RatingCount" minOccurs="0"/>
                <xsd:element ref="ns2:me2345ccb9b74a88a67ac77d9edc80a2" minOccurs="0"/>
                <xsd:element ref="ns2:d6d0bd4aebe44f048518c2b92e912dde" minOccurs="0"/>
                <xsd:element ref="ns2:nb56471b3b68479b862171af60c4d60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9d0439-5b38-42da-9e42-125d229fd3cc" elementFormDefault="qualified">
    <xsd:import namespace="http://schemas.microsoft.com/office/2006/documentManagement/types"/>
    <xsd:import namespace="http://schemas.microsoft.com/office/infopath/2007/PartnerControls"/>
    <xsd:element name="Submitted_x0020_By" ma:index="8" nillable="true" ma:displayName="Submitted By" ma:description="This column will be used to design a view for the customer to easily find documents they submitted." ma:list="UserInfo" ma:SearchPeopleOnly="false" ma:SharePointGroup="0" ma:internalName="Submitt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_x0020_Lookup" ma:index="9" nillable="true" ma:displayName="Category OLD" ma:list="{0f965dd6-24d4-4568-860d-262ab32ada82}" ma:internalName="Category_x0020_Lookup" ma:showField="Title">
      <xsd:simpleType>
        <xsd:restriction base="dms:Lookup"/>
      </xsd:simpleType>
    </xsd:element>
    <xsd:element name="Entity_x0020_Usage0" ma:index="10" nillable="true" ma:displayName="Entity Usage OLD" ma:list="{85ed31dd-6e17-4915-8d7b-5815d67ffe20}" ma:internalName="Entity_x0020_Usage0" ma:showField="Title">
      <xsd:simpleType>
        <xsd:restriction base="dms:Lookup"/>
      </xsd:simpleType>
    </xsd:element>
    <xsd:element name="Language0" ma:index="11" nillable="true" ma:displayName="Language OLD" ma:list="{4eaa4ec3-6d48-405a-9223-267af15c1edf}" ma:internalName="Language0" ma:showField="Title">
      <xsd:simpleType>
        <xsd:restriction base="dms:Lookup"/>
      </xsd:simpleType>
    </xsd:element>
    <xsd:element name="me2345ccb9b74a88a67ac77d9edc80a2" ma:index="18" nillable="true" ma:taxonomy="true" ma:internalName="me2345ccb9b74a88a67ac77d9edc80a2" ma:taxonomyFieldName="Languages" ma:displayName="Language" ma:indexed="true" ma:default="" ma:fieldId="{6e2345cc-b9b7-4a88-a67a-c77d9edc80a2}" ma:sspId="e6c522bd-37f9-48fc-b38a-e0f2f62f7b06" ma:termSetId="104fb1ce-b0df-4041-8cef-22bfd9b6b1c3" ma:anchorId="00000000-0000-0000-0000-000000000000" ma:open="false" ma:isKeyword="false">
      <xsd:complexType>
        <xsd:sequence>
          <xsd:element ref="pc:Terms" minOccurs="0" maxOccurs="1"/>
        </xsd:sequence>
      </xsd:complexType>
    </xsd:element>
    <xsd:element name="d6d0bd4aebe44f048518c2b92e912dde" ma:index="20" nillable="true" ma:taxonomy="true" ma:internalName="d6d0bd4aebe44f048518c2b92e912dde" ma:taxonomyFieldName="Category_x0020_MM" ma:displayName="Category" ma:default="" ma:fieldId="{d6d0bd4a-ebe4-4f04-8518-c2b92e912dde}" ma:taxonomyMulti="true" ma:sspId="e6c522bd-37f9-48fc-b38a-e0f2f62f7b06" ma:termSetId="b191acd1-59e3-4155-b688-9996440df09b" ma:anchorId="00000000-0000-0000-0000-000000000000" ma:open="false" ma:isKeyword="false">
      <xsd:complexType>
        <xsd:sequence>
          <xsd:element ref="pc:Terms" minOccurs="0" maxOccurs="1"/>
        </xsd:sequence>
      </xsd:complexType>
    </xsd:element>
    <xsd:element name="nb56471b3b68479b862171af60c4d604" ma:index="22" nillable="true" ma:taxonomy="true" ma:internalName="nb56471b3b68479b862171af60c4d604" ma:taxonomyFieldName="Entity_x0020_Usage_x0020_MM" ma:displayName="Entity Usage" ma:indexed="true" ma:default="" ma:fieldId="{7b56471b-3b68-479b-8621-71af60c4d604}" ma:sspId="e6c522bd-37f9-48fc-b38a-e0f2f62f7b06" ma:termSetId="5a8fb8e3-8d9d-48ee-bcb0-e713dd809a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a9bad4-5b4d-4166-9db9-296c9c540192"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fieldId="{23f27201-bee3-471e-b2e7-b64fd8b7ca38}" ma:taxonomyMulti="true" ma:sspId="e6c522bd-37f9-48fc-b38a-e0f2f62f7b0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e1dd4550-eef6-48b1-8071-b85448258d46}" ma:internalName="TaxCatchAll" ma:showField="CatchAllData" ma:web="55a9bad4-5b4d-4166-9db9-296c9c5401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C99EF-43C0-4917-A309-8E61AB2BF4B7}">
  <ds:schemaRefs>
    <ds:schemaRef ds:uri="http://schemas.microsoft.com/office/2006/metadata/properties"/>
    <ds:schemaRef ds:uri="http://purl.org/dc/elements/1.1/"/>
    <ds:schemaRef ds:uri="http://purl.org/dc/terms/"/>
    <ds:schemaRef ds:uri="189d0439-5b38-42da-9e42-125d229fd3cc"/>
    <ds:schemaRef ds:uri="http://schemas.microsoft.com/sharepoint/v3"/>
    <ds:schemaRef ds:uri="http://www.w3.org/XML/1998/namespace"/>
    <ds:schemaRef ds:uri="55a9bad4-5b4d-4166-9db9-296c9c540192"/>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786AD68-10EE-4D19-9C8F-A58E97A55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9d0439-5b38-42da-9e42-125d229fd3cc"/>
    <ds:schemaRef ds:uri="55a9bad4-5b4d-4166-9db9-296c9c540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7818E9-C58F-41C1-A08D-27922FF00F0B}">
  <ds:schemaRefs>
    <ds:schemaRef ds:uri="http://schemas.microsoft.com/sharepoint/v3/contenttype/forms"/>
  </ds:schemaRefs>
</ds:datastoreItem>
</file>

<file path=customXml/itemProps4.xml><?xml version="1.0" encoding="utf-8"?>
<ds:datastoreItem xmlns:ds="http://schemas.openxmlformats.org/officeDocument/2006/customXml" ds:itemID="{DF44173F-EF9E-4BF1-B3F3-51603468D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8093</Words>
  <Characters>29633</Characters>
  <Application>Microsoft Office Word</Application>
  <DocSecurity>0</DocSecurity>
  <Lines>246</Lines>
  <Paragraphs>75</Paragraphs>
  <ScaleCrop>false</ScaleCrop>
  <HeadingPairs>
    <vt:vector size="2" baseType="variant">
      <vt:variant>
        <vt:lpstr>Title</vt:lpstr>
      </vt:variant>
      <vt:variant>
        <vt:i4>1</vt:i4>
      </vt:variant>
    </vt:vector>
  </HeadingPairs>
  <TitlesOfParts>
    <vt:vector size="1" baseType="lpstr">
      <vt:lpstr/>
    </vt:vector>
  </TitlesOfParts>
  <Company>Robert Half International, Inc.</Company>
  <LinksUpToDate>false</LinksUpToDate>
  <CharactersWithSpaces>37651</CharactersWithSpaces>
  <SharedDoc>false</SharedDoc>
  <HLinks>
    <vt:vector size="6" baseType="variant">
      <vt:variant>
        <vt:i4>4390936</vt:i4>
      </vt:variant>
      <vt:variant>
        <vt:i4>0</vt:i4>
      </vt:variant>
      <vt:variant>
        <vt:i4>0</vt:i4>
      </vt:variant>
      <vt:variant>
        <vt:i4>5</vt:i4>
      </vt:variant>
      <vt:variant>
        <vt:lpwstr>http://aspe.hhs.gov/poverty/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laugem01</dc:creator>
  <cp:keywords/>
  <cp:lastModifiedBy>Andis, Amanda</cp:lastModifiedBy>
  <cp:revision>2</cp:revision>
  <cp:lastPrinted>2015-09-21T21:08:00Z</cp:lastPrinted>
  <dcterms:created xsi:type="dcterms:W3CDTF">2015-11-18T18:20:00Z</dcterms:created>
  <dcterms:modified xsi:type="dcterms:W3CDTF">2015-11-18T18:20:00Z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0x010100DEA6D965AE3A7943A908BBE27A15E3D2</vt:lpwstr>
  </property>
  <property fmtid="{D5CDD505-2E9C-101B-9397-08002B2CF9AE}" pid="3" name="Category MM">
    <vt:lpwstr/>
  </property>
  <property fmtid="{D5CDD505-2E9C-101B-9397-08002B2CF9AE}" pid="4" name="TaxKeyword">
    <vt:lpwstr/>
  </property>
  <property fmtid="{D5CDD505-2E9C-101B-9397-08002B2CF9AE}" pid="5" name="Entity Usage MM">
    <vt:lpwstr>22;#Texas Health Resources|9d01499c-6067-4e78-a120-8254271773aa</vt:lpwstr>
  </property>
  <property fmtid="{D5CDD505-2E9C-101B-9397-08002B2CF9AE}" pid="6" name="Languages">
    <vt:lpwstr>7;#Vietnamese|928bc085-3cc7-40c4-b062-36f5ec6837af</vt:lpwstr>
  </property>
</Properties>
</file>